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FF0BF">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r>
        <w:rPr>
          <w:rFonts w:hint="default" w:ascii="Times New Roman" w:hAnsi="Times New Roman" w:eastAsia="黑体" w:cs="Times New Roman"/>
          <w:szCs w:val="32"/>
          <w:highlight w:val="none"/>
          <w:lang w:val="zh-CN"/>
        </w:rPr>
        <w:t>附件</w:t>
      </w:r>
      <w:r>
        <w:rPr>
          <w:rFonts w:hint="eastAsia" w:eastAsia="黑体" w:cs="Times New Roman"/>
          <w:szCs w:val="32"/>
          <w:highlight w:val="none"/>
          <w:lang w:val="en-US" w:eastAsia="zh-CN"/>
        </w:rPr>
        <w:t>1</w:t>
      </w:r>
    </w:p>
    <w:p w14:paraId="5587CF7A">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宋体" w:cs="Times New Roman"/>
          <w:b/>
          <w:sz w:val="44"/>
          <w:szCs w:val="44"/>
          <w:highlight w:val="none"/>
          <w:shd w:val="clear" w:color="auto" w:fill="FFFFFF"/>
        </w:rPr>
      </w:pPr>
    </w:p>
    <w:p w14:paraId="18B1E48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2025</w:t>
      </w:r>
      <w:r>
        <w:rPr>
          <w:rFonts w:hint="default" w:ascii="Times New Roman" w:hAnsi="Times New Roman" w:eastAsia="方正小标宋简体" w:cs="Times New Roman"/>
          <w:b w:val="0"/>
          <w:bCs/>
          <w:sz w:val="44"/>
          <w:szCs w:val="44"/>
          <w:highlight w:val="none"/>
          <w:shd w:val="clear" w:color="auto" w:fill="FFFFFF"/>
        </w:rPr>
        <w:t>年天全县人民代表大会常务委员会</w:t>
      </w:r>
    </w:p>
    <w:p w14:paraId="7BA01F4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办公室部门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6AF750D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cs="Times New Roman"/>
          <w:szCs w:val="32"/>
          <w:highlight w:val="none"/>
          <w:shd w:val="clear" w:color="auto" w:fill="FFFFFF"/>
        </w:rPr>
      </w:pPr>
    </w:p>
    <w:p w14:paraId="3539417E">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1002542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default" w:ascii="Times New Roman" w:hAnsi="Times New Roman" w:eastAsia="黑体" w:cs="Times New Roman"/>
          <w:color w:val="000000"/>
          <w:kern w:val="0"/>
          <w:szCs w:val="32"/>
          <w:highlight w:val="none"/>
          <w:shd w:val="clear" w:color="auto" w:fill="FFFFFF"/>
          <w:lang w:val="zh-CN"/>
        </w:rPr>
        <w:t>一、部门（单位）基本情况</w:t>
      </w:r>
    </w:p>
    <w:p w14:paraId="3D0B907A">
      <w:pPr>
        <w:snapToGrid w:val="0"/>
        <w:spacing w:line="520" w:lineRule="exact"/>
        <w:ind w:firstLine="643"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（一）机构组成。</w:t>
      </w:r>
    </w:p>
    <w:p w14:paraId="55E05BD5">
      <w:pPr>
        <w:snapToGrid w:val="0"/>
        <w:spacing w:line="520" w:lineRule="exact"/>
        <w:ind w:firstLine="640" w:firstLineChars="200"/>
        <w:jc w:val="left"/>
        <w:rPr>
          <w:rFonts w:hint="default" w:ascii="仿宋_GB2312" w:hAnsi="仿宋_GB2312" w:eastAsia="仿宋_GB2312" w:cs="仿宋_GB2312"/>
          <w:b w:val="0"/>
          <w:bCs w:val="0"/>
          <w:color w:val="000000"/>
          <w:kern w:val="0"/>
          <w:szCs w:val="32"/>
          <w:highlight w:val="none"/>
          <w:shd w:val="clear" w:color="auto" w:fill="FFFFFF"/>
          <w:lang w:val="zh-CN"/>
        </w:rPr>
      </w:pPr>
      <w:r>
        <w:rPr>
          <w:rFonts w:hint="eastAsia" w:ascii="仿宋_GB2312" w:hAnsi="仿宋_GB2312" w:eastAsia="仿宋_GB2312" w:cs="仿宋_GB2312"/>
          <w:sz w:val="32"/>
          <w:szCs w:val="32"/>
        </w:rPr>
        <w:t>天全县人民代表大会常务委员会办公室</w:t>
      </w:r>
      <w:r>
        <w:rPr>
          <w:rFonts w:hint="eastAsia" w:ascii="仿宋_GB2312" w:hAnsi="仿宋_GB2312" w:eastAsia="仿宋_GB2312" w:cs="仿宋_GB2312"/>
          <w:sz w:val="32"/>
          <w:szCs w:val="32"/>
          <w:highlight w:val="none"/>
          <w:lang w:eastAsia="zh-CN"/>
        </w:rPr>
        <w:t>属于一级预算单位，下属二级单位</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个，其中行政单位1个</w:t>
      </w:r>
      <w:r>
        <w:rPr>
          <w:rFonts w:hint="eastAsia" w:ascii="仿宋_GB2312" w:hAnsi="仿宋_GB2312" w:eastAsia="仿宋_GB2312" w:cs="仿宋_GB2312"/>
          <w:sz w:val="32"/>
          <w:szCs w:val="32"/>
        </w:rPr>
        <w:t>，其他事业单位1个。</w:t>
      </w:r>
      <w:r>
        <w:rPr>
          <w:rFonts w:hint="eastAsia" w:ascii="仿宋_GB2312" w:hAnsi="仿宋_GB2312" w:cs="仿宋_GB2312"/>
          <w:sz w:val="32"/>
          <w:szCs w:val="32"/>
          <w:lang w:eastAsia="zh-CN"/>
        </w:rPr>
        <w:t>主要包括：天全县</w:t>
      </w:r>
      <w:r>
        <w:rPr>
          <w:rFonts w:hint="eastAsia" w:ascii="仿宋_GB2312" w:hAnsi="仿宋_GB2312" w:eastAsia="仿宋_GB2312" w:cs="仿宋_GB2312"/>
          <w:sz w:val="32"/>
          <w:szCs w:val="32"/>
        </w:rPr>
        <w:t>人民代表大会常务委员会办公室（</w:t>
      </w:r>
      <w:r>
        <w:rPr>
          <w:rFonts w:hint="eastAsia" w:ascii="仿宋_GB2312" w:hAnsi="仿宋_GB2312" w:cs="仿宋_GB2312"/>
          <w:sz w:val="32"/>
          <w:szCs w:val="32"/>
          <w:lang w:eastAsia="zh-CN"/>
        </w:rPr>
        <w:t>机关</w:t>
      </w:r>
      <w:r>
        <w:rPr>
          <w:rFonts w:hint="eastAsia" w:ascii="仿宋_GB2312" w:hAnsi="仿宋_GB2312" w:eastAsia="仿宋_GB2312" w:cs="仿宋_GB2312"/>
          <w:sz w:val="32"/>
          <w:szCs w:val="32"/>
        </w:rPr>
        <w:t>）</w:t>
      </w:r>
      <w:r>
        <w:rPr>
          <w:rFonts w:hint="eastAsia" w:ascii="仿宋_GB2312" w:hAnsi="仿宋_GB2312" w:cs="仿宋_GB2312"/>
          <w:sz w:val="32"/>
          <w:szCs w:val="32"/>
          <w:lang w:eastAsia="zh-CN"/>
        </w:rPr>
        <w:t>和</w:t>
      </w:r>
      <w:r>
        <w:rPr>
          <w:rFonts w:hint="eastAsia" w:ascii="仿宋_GB2312" w:hAnsi="仿宋_GB2312" w:eastAsia="仿宋_GB2312" w:cs="仿宋_GB2312"/>
          <w:sz w:val="32"/>
          <w:szCs w:val="32"/>
          <w:lang w:eastAsia="zh-CN"/>
        </w:rPr>
        <w:t>天全人大信息中心</w:t>
      </w:r>
      <w:r>
        <w:rPr>
          <w:rFonts w:hint="eastAsia" w:ascii="仿宋_GB2312" w:hAnsi="仿宋_GB2312" w:cs="仿宋_GB2312"/>
          <w:sz w:val="32"/>
          <w:szCs w:val="32"/>
          <w:lang w:eastAsia="zh-CN"/>
        </w:rPr>
        <w:t>，</w:t>
      </w:r>
      <w:r>
        <w:rPr>
          <w:rFonts w:hint="eastAsia" w:ascii="仿宋_GB2312" w:hAnsi="仿宋_GB2312" w:cs="仿宋_GB2312"/>
          <w:sz w:val="32"/>
          <w:szCs w:val="32"/>
          <w:highlight w:val="none"/>
          <w:lang w:eastAsia="zh-CN"/>
        </w:rPr>
        <w:t>其中</w:t>
      </w:r>
      <w:r>
        <w:rPr>
          <w:rFonts w:hint="eastAsia" w:ascii="仿宋_GB2312" w:hAnsi="仿宋_GB2312" w:eastAsia="仿宋_GB2312" w:cs="仿宋_GB2312"/>
          <w:sz w:val="32"/>
          <w:szCs w:val="32"/>
          <w:lang w:eastAsia="zh-CN"/>
        </w:rPr>
        <w:t>天全人大信息中心</w:t>
      </w:r>
      <w:r>
        <w:rPr>
          <w:rFonts w:hint="eastAsia" w:ascii="仿宋_GB2312" w:hAnsi="仿宋_GB2312" w:eastAsia="仿宋_GB2312" w:cs="仿宋_GB2312"/>
          <w:sz w:val="32"/>
          <w:szCs w:val="32"/>
        </w:rPr>
        <w:t>同天全县人民代表大会常务委员会办公室（</w:t>
      </w:r>
      <w:r>
        <w:rPr>
          <w:rFonts w:hint="eastAsia" w:ascii="仿宋_GB2312" w:hAnsi="仿宋_GB2312" w:cs="仿宋_GB2312"/>
          <w:sz w:val="32"/>
          <w:szCs w:val="32"/>
          <w:lang w:eastAsia="zh-CN"/>
        </w:rPr>
        <w:t>机关</w:t>
      </w:r>
      <w:r>
        <w:rPr>
          <w:rFonts w:hint="eastAsia" w:ascii="仿宋_GB2312" w:hAnsi="仿宋_GB2312" w:eastAsia="仿宋_GB2312" w:cs="仿宋_GB2312"/>
          <w:sz w:val="32"/>
          <w:szCs w:val="32"/>
        </w:rPr>
        <w:t>）合署办公</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未独立编制预算及核算</w:t>
      </w:r>
      <w:r>
        <w:rPr>
          <w:rFonts w:hint="eastAsia" w:ascii="仿宋_GB2312" w:hAnsi="仿宋_GB2312" w:eastAsia="仿宋_GB2312" w:cs="仿宋_GB2312"/>
          <w:sz w:val="32"/>
          <w:szCs w:val="32"/>
          <w:lang w:eastAsia="zh-CN"/>
        </w:rPr>
        <w:t>。</w:t>
      </w:r>
    </w:p>
    <w:p w14:paraId="0724FCC9">
      <w:pPr>
        <w:snapToGrid w:val="0"/>
        <w:spacing w:line="520" w:lineRule="exact"/>
        <w:ind w:firstLine="643" w:firstLineChars="200"/>
        <w:rPr>
          <w:rFonts w:hint="eastAsia" w:ascii="仿宋_GB2312" w:hAnsi="仿宋" w:eastAsia="仿宋_GB2312" w:cs="Times New Roman"/>
          <w:sz w:val="32"/>
          <w:szCs w:val="32"/>
          <w:highlight w:val="none"/>
          <w:lang w:eastAsia="zh-CN"/>
        </w:rPr>
      </w:pPr>
      <w:r>
        <w:rPr>
          <w:rFonts w:hint="default" w:ascii="Times New Roman" w:hAnsi="Times New Roman" w:eastAsia="楷体_GB2312" w:cs="Times New Roman"/>
          <w:b/>
          <w:bCs/>
          <w:color w:val="000000"/>
          <w:kern w:val="0"/>
          <w:szCs w:val="32"/>
          <w:highlight w:val="none"/>
          <w:shd w:val="clear" w:color="auto" w:fill="FFFFFF"/>
          <w:lang w:val="zh-CN"/>
        </w:rPr>
        <w:t>（二）机构职能。</w:t>
      </w:r>
    </w:p>
    <w:p w14:paraId="33F75554">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天全县人民代表大会常务委员会办公室成立于</w:t>
      </w:r>
      <w:r>
        <w:rPr>
          <w:rFonts w:hint="eastAsia" w:ascii="仿宋_GB2312" w:hAnsi="仿宋" w:eastAsia="仿宋_GB2312" w:cs="Times New Roman"/>
          <w:sz w:val="32"/>
          <w:szCs w:val="32"/>
          <w:highlight w:val="none"/>
          <w:lang w:val="en-US" w:eastAsia="zh-CN"/>
        </w:rPr>
        <w:t>1981</w:t>
      </w:r>
      <w:r>
        <w:rPr>
          <w:rFonts w:hint="eastAsia" w:ascii="仿宋_GB2312" w:hAnsi="仿宋" w:eastAsia="仿宋_GB2312" w:cs="Times New Roman"/>
          <w:sz w:val="32"/>
          <w:szCs w:val="32"/>
          <w:highlight w:val="none"/>
          <w:lang w:eastAsia="zh-CN"/>
        </w:rPr>
        <w:t>年</w:t>
      </w:r>
      <w:r>
        <w:rPr>
          <w:rFonts w:hint="eastAsia" w:ascii="仿宋_GB2312" w:hAnsi="仿宋" w:eastAsia="仿宋_GB2312" w:cs="Times New Roman"/>
          <w:sz w:val="32"/>
          <w:szCs w:val="32"/>
          <w:highlight w:val="none"/>
          <w:lang w:val="en-US" w:eastAsia="zh-CN"/>
        </w:rPr>
        <w:t>12</w:t>
      </w:r>
      <w:r>
        <w:rPr>
          <w:rFonts w:hint="eastAsia" w:ascii="仿宋_GB2312" w:hAnsi="仿宋" w:eastAsia="仿宋_GB2312" w:cs="Times New Roman"/>
          <w:sz w:val="32"/>
          <w:szCs w:val="32"/>
          <w:highlight w:val="none"/>
          <w:lang w:eastAsia="zh-CN"/>
        </w:rPr>
        <w:t>月，单位地址天全县北城街</w:t>
      </w:r>
      <w:r>
        <w:rPr>
          <w:rFonts w:hint="eastAsia" w:ascii="仿宋_GB2312" w:hAnsi="仿宋" w:eastAsia="仿宋_GB2312" w:cs="Times New Roman"/>
          <w:sz w:val="32"/>
          <w:szCs w:val="32"/>
          <w:highlight w:val="none"/>
          <w:lang w:val="en-US" w:eastAsia="zh-CN"/>
        </w:rPr>
        <w:t>68</w:t>
      </w:r>
      <w:r>
        <w:rPr>
          <w:rFonts w:hint="eastAsia" w:ascii="仿宋_GB2312" w:hAnsi="仿宋" w:eastAsia="仿宋_GB2312" w:cs="Times New Roman"/>
          <w:sz w:val="32"/>
          <w:szCs w:val="32"/>
          <w:highlight w:val="none"/>
          <w:lang w:eastAsia="zh-CN"/>
        </w:rPr>
        <w:t>号。</w:t>
      </w:r>
    </w:p>
    <w:p w14:paraId="664C8017">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1</w:t>
      </w:r>
      <w:r>
        <w:rPr>
          <w:rFonts w:hint="eastAsia" w:ascii="仿宋_GB2312" w:hAnsi="仿宋" w:eastAsia="仿宋_GB2312" w:cs="Times New Roman"/>
          <w:sz w:val="32"/>
          <w:szCs w:val="32"/>
          <w:highlight w:val="none"/>
          <w:lang w:eastAsia="zh-CN"/>
        </w:rPr>
        <w:t>）承办县人民代表大会会议的筹备工作，常务委员会会议、主任会议和其他重要会议的会务、材料、总务工作;</w:t>
      </w:r>
    </w:p>
    <w:p w14:paraId="5D7A1E3F">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2</w:t>
      </w:r>
      <w:r>
        <w:rPr>
          <w:rFonts w:hint="eastAsia" w:ascii="仿宋_GB2312" w:hAnsi="仿宋" w:eastAsia="仿宋_GB2312" w:cs="Times New Roman"/>
          <w:sz w:val="32"/>
          <w:szCs w:val="32"/>
          <w:highlight w:val="none"/>
          <w:lang w:eastAsia="zh-CN"/>
        </w:rPr>
        <w:t>）负责检查常务委员会会议、主任会议、主任办公会议以及其他重要会议决定事项的落实;</w:t>
      </w:r>
    </w:p>
    <w:p w14:paraId="4ED9FEFE">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3</w:t>
      </w:r>
      <w:r>
        <w:rPr>
          <w:rFonts w:hint="eastAsia" w:ascii="仿宋_GB2312" w:hAnsi="仿宋" w:eastAsia="仿宋_GB2312" w:cs="Times New Roman"/>
          <w:sz w:val="32"/>
          <w:szCs w:val="32"/>
          <w:highlight w:val="none"/>
          <w:lang w:eastAsia="zh-CN"/>
        </w:rPr>
        <w:t>）负责草拟、审核、印发常务委员会的各类文件和领导的讲话;</w:t>
      </w:r>
    </w:p>
    <w:p w14:paraId="4DE8B88E">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4</w:t>
      </w:r>
      <w:r>
        <w:rPr>
          <w:rFonts w:hint="eastAsia" w:ascii="仿宋_GB2312" w:hAnsi="仿宋" w:eastAsia="仿宋_GB2312" w:cs="Times New Roman"/>
          <w:sz w:val="32"/>
          <w:szCs w:val="32"/>
          <w:highlight w:val="none"/>
          <w:lang w:eastAsia="zh-CN"/>
        </w:rPr>
        <w:t>）受理人大代表、人民群众对县人民政府、县人民法院、县人民检察院及其工作人员的申诉和意见;</w:t>
      </w:r>
    </w:p>
    <w:p w14:paraId="1306CC33">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lang w:eastAsia="zh-CN"/>
        </w:rPr>
        <w:t>）处理常务委员会会议期间常务委员会组成人员提出的建议和意见;</w:t>
      </w:r>
    </w:p>
    <w:p w14:paraId="43707BAC">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6</w:t>
      </w:r>
      <w:r>
        <w:rPr>
          <w:rFonts w:hint="eastAsia" w:ascii="仿宋_GB2312" w:hAnsi="仿宋" w:eastAsia="仿宋_GB2312" w:cs="Times New Roman"/>
          <w:sz w:val="32"/>
          <w:szCs w:val="32"/>
          <w:highlight w:val="none"/>
          <w:lang w:eastAsia="zh-CN"/>
        </w:rPr>
        <w:t>）负责处理和管理机关文书、公务、行政事务;</w:t>
      </w:r>
    </w:p>
    <w:p w14:paraId="096F86DD">
      <w:pPr>
        <w:snapToGrid w:val="0"/>
        <w:spacing w:line="520" w:lineRule="exact"/>
        <w:ind w:firstLine="640"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7</w:t>
      </w:r>
      <w:r>
        <w:rPr>
          <w:rFonts w:hint="eastAsia" w:ascii="仿宋_GB2312" w:hAnsi="仿宋" w:eastAsia="仿宋_GB2312" w:cs="Times New Roman"/>
          <w:sz w:val="32"/>
          <w:szCs w:val="32"/>
          <w:highlight w:val="none"/>
          <w:lang w:eastAsia="zh-CN"/>
        </w:rPr>
        <w:t>）负责常务委员会的内外接待工作;</w:t>
      </w:r>
    </w:p>
    <w:p w14:paraId="28F6E5EC">
      <w:pPr>
        <w:snapToGrid w:val="0"/>
        <w:spacing w:line="520" w:lineRule="exact"/>
        <w:ind w:firstLine="640"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hAnsi="仿宋" w:eastAsia="仿宋_GB2312" w:cs="Times New Roman"/>
          <w:sz w:val="32"/>
          <w:szCs w:val="32"/>
          <w:highlight w:val="none"/>
          <w:lang w:eastAsia="zh-CN"/>
        </w:rPr>
        <w:t>（</w:t>
      </w:r>
      <w:r>
        <w:rPr>
          <w:rFonts w:hint="eastAsia" w:ascii="Times New Roman" w:hAnsi="Times New Roman" w:eastAsia="黑体" w:cs="Times New Roman"/>
          <w:kern w:val="2"/>
          <w:sz w:val="32"/>
          <w:szCs w:val="32"/>
          <w:lang w:val="en-US" w:eastAsia="zh-CN" w:bidi="ar-SA"/>
        </w:rPr>
        <w:t>8</w:t>
      </w:r>
      <w:r>
        <w:rPr>
          <w:rFonts w:hint="eastAsia" w:ascii="仿宋_GB2312" w:hAnsi="仿宋" w:eastAsia="仿宋_GB2312" w:cs="Times New Roman"/>
          <w:sz w:val="32"/>
          <w:szCs w:val="32"/>
          <w:highlight w:val="none"/>
          <w:lang w:eastAsia="zh-CN"/>
        </w:rPr>
        <w:t>）负责向主任会议汇报人大代表和人民群众的来信来访工作，重大的来信、来访案件及时送主任、副主任审阅处理。</w:t>
      </w:r>
    </w:p>
    <w:p w14:paraId="2733DB5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（三）人员概况。</w:t>
      </w:r>
    </w:p>
    <w:p w14:paraId="1C4D18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eastAsia" w:eastAsia="黑体" w:cs="Times New Roman"/>
          <w:kern w:val="2"/>
          <w:sz w:val="32"/>
          <w:szCs w:val="32"/>
          <w:lang w:val="en-US" w:eastAsia="zh-CN" w:bidi="ar-SA"/>
        </w:rPr>
        <w:t>2025</w:t>
      </w:r>
      <w:r>
        <w:rPr>
          <w:rFonts w:hint="eastAsia" w:ascii="仿宋_GB2312" w:hAnsi="仿宋" w:eastAsia="仿宋_GB2312"/>
          <w:sz w:val="32"/>
          <w:szCs w:val="32"/>
          <w:highlight w:val="none"/>
          <w:lang w:eastAsia="zh-CN"/>
        </w:rPr>
        <w:t>年</w:t>
      </w:r>
      <w:r>
        <w:rPr>
          <w:rFonts w:hint="eastAsia" w:ascii="仿宋_GB2312" w:hAnsi="仿宋" w:eastAsia="仿宋_GB2312"/>
          <w:sz w:val="32"/>
          <w:szCs w:val="32"/>
          <w:highlight w:val="none"/>
        </w:rPr>
        <w:t>天全县</w:t>
      </w:r>
      <w:r>
        <w:rPr>
          <w:rFonts w:hint="eastAsia" w:ascii="仿宋_GB2312" w:hAnsi="仿宋" w:eastAsia="仿宋_GB2312"/>
          <w:sz w:val="32"/>
          <w:szCs w:val="32"/>
          <w:highlight w:val="none"/>
          <w:lang w:eastAsia="zh-CN"/>
        </w:rPr>
        <w:t>人民代表大会常务委员会</w:t>
      </w:r>
      <w:r>
        <w:rPr>
          <w:rFonts w:hint="eastAsia" w:ascii="仿宋_GB2312" w:hAnsi="仿宋" w:eastAsia="仿宋_GB2312"/>
          <w:sz w:val="32"/>
          <w:szCs w:val="32"/>
          <w:highlight w:val="none"/>
        </w:rPr>
        <w:t>办公室</w:t>
      </w:r>
      <w:r>
        <w:rPr>
          <w:rFonts w:hint="eastAsia" w:ascii="仿宋_GB2312" w:hAnsi="仿宋" w:eastAsia="仿宋_GB2312"/>
          <w:sz w:val="32"/>
          <w:szCs w:val="32"/>
          <w:highlight w:val="none"/>
          <w:lang w:eastAsia="zh-CN"/>
        </w:rPr>
        <w:t>总编制</w:t>
      </w:r>
      <w:r>
        <w:rPr>
          <w:rFonts w:hint="eastAsia" w:ascii="Times New Roman" w:hAnsi="Times New Roman" w:eastAsia="黑体" w:cs="Times New Roman"/>
          <w:kern w:val="2"/>
          <w:sz w:val="32"/>
          <w:szCs w:val="32"/>
          <w:lang w:val="en-US" w:eastAsia="zh-CN" w:bidi="ar-SA"/>
        </w:rPr>
        <w:t>23</w:t>
      </w:r>
      <w:r>
        <w:rPr>
          <w:rFonts w:hint="eastAsia" w:ascii="仿宋_GB2312" w:hAnsi="仿宋" w:eastAsia="仿宋_GB2312"/>
          <w:sz w:val="32"/>
          <w:szCs w:val="32"/>
          <w:highlight w:val="none"/>
          <w:lang w:eastAsia="zh-CN"/>
        </w:rPr>
        <w:t>名，其中行政编制</w:t>
      </w:r>
      <w:r>
        <w:rPr>
          <w:rFonts w:hint="eastAsia" w:ascii="Times New Roman" w:hAnsi="Times New Roman" w:eastAsia="黑体" w:cs="Times New Roman"/>
          <w:kern w:val="2"/>
          <w:sz w:val="32"/>
          <w:szCs w:val="32"/>
          <w:lang w:val="en-US" w:eastAsia="zh-CN" w:bidi="ar-SA"/>
        </w:rPr>
        <w:t>11</w:t>
      </w:r>
      <w:r>
        <w:rPr>
          <w:rFonts w:hint="eastAsia" w:ascii="仿宋_GB2312" w:hAnsi="仿宋" w:eastAsia="仿宋_GB2312"/>
          <w:sz w:val="32"/>
          <w:szCs w:val="32"/>
          <w:highlight w:val="none"/>
          <w:lang w:eastAsia="zh-CN"/>
        </w:rPr>
        <w:t>名，工勤编制</w:t>
      </w:r>
      <w:r>
        <w:rPr>
          <w:rFonts w:hint="eastAsia" w:ascii="Times New Roman" w:hAnsi="Times New Roman" w:eastAsia="黑体" w:cs="Times New Roman"/>
          <w:kern w:val="2"/>
          <w:sz w:val="32"/>
          <w:szCs w:val="32"/>
          <w:lang w:val="en-US" w:eastAsia="zh-CN" w:bidi="ar-SA"/>
        </w:rPr>
        <w:t>5</w:t>
      </w:r>
      <w:r>
        <w:rPr>
          <w:rFonts w:hint="eastAsia" w:ascii="仿宋_GB2312" w:hAnsi="仿宋" w:eastAsia="仿宋_GB2312"/>
          <w:sz w:val="32"/>
          <w:szCs w:val="32"/>
          <w:highlight w:val="none"/>
          <w:lang w:eastAsia="zh-CN"/>
        </w:rPr>
        <w:t>名，事业编制</w:t>
      </w:r>
      <w:r>
        <w:rPr>
          <w:rFonts w:hint="eastAsia" w:ascii="Times New Roman" w:hAnsi="Times New Roman" w:eastAsia="黑体" w:cs="Times New Roman"/>
          <w:kern w:val="2"/>
          <w:sz w:val="32"/>
          <w:szCs w:val="32"/>
          <w:lang w:val="en-US" w:eastAsia="zh-CN" w:bidi="ar-SA"/>
        </w:rPr>
        <w:t>7</w:t>
      </w:r>
      <w:r>
        <w:rPr>
          <w:rFonts w:hint="eastAsia" w:ascii="仿宋_GB2312" w:hAnsi="仿宋" w:eastAsia="仿宋_GB2312"/>
          <w:sz w:val="32"/>
          <w:szCs w:val="32"/>
          <w:highlight w:val="none"/>
          <w:lang w:eastAsia="zh-CN"/>
        </w:rPr>
        <w:t>名。在职人员总数</w:t>
      </w:r>
      <w:r>
        <w:rPr>
          <w:rFonts w:hint="eastAsia" w:ascii="Times New Roman" w:hAnsi="Times New Roman" w:eastAsia="黑体" w:cs="Times New Roman"/>
          <w:kern w:val="2"/>
          <w:sz w:val="32"/>
          <w:szCs w:val="32"/>
          <w:lang w:val="en-US" w:eastAsia="zh-CN" w:bidi="ar-SA"/>
        </w:rPr>
        <w:t>1</w:t>
      </w:r>
      <w:r>
        <w:rPr>
          <w:rFonts w:hint="eastAsia" w:eastAsia="黑体" w:cs="Times New Roman"/>
          <w:kern w:val="2"/>
          <w:sz w:val="32"/>
          <w:szCs w:val="32"/>
          <w:lang w:val="en-US" w:eastAsia="zh-CN" w:bidi="ar-SA"/>
        </w:rPr>
        <w:t>9</w:t>
      </w:r>
      <w:r>
        <w:rPr>
          <w:rFonts w:hint="eastAsia" w:ascii="仿宋_GB2312" w:hAnsi="仿宋" w:eastAsia="仿宋_GB2312"/>
          <w:sz w:val="32"/>
          <w:szCs w:val="32"/>
          <w:highlight w:val="none"/>
          <w:lang w:eastAsia="zh-CN"/>
        </w:rPr>
        <w:t>名，其中行政人员</w:t>
      </w:r>
      <w:r>
        <w:rPr>
          <w:rFonts w:hint="eastAsia" w:eastAsia="黑体" w:cs="Times New Roman"/>
          <w:kern w:val="2"/>
          <w:sz w:val="32"/>
          <w:szCs w:val="32"/>
          <w:lang w:val="en-US" w:eastAsia="zh-CN" w:bidi="ar-SA"/>
        </w:rPr>
        <w:t>9</w:t>
      </w:r>
      <w:r>
        <w:rPr>
          <w:rFonts w:hint="eastAsia" w:ascii="仿宋_GB2312" w:hAnsi="仿宋" w:eastAsia="仿宋_GB2312" w:cs="Times New Roman"/>
          <w:sz w:val="32"/>
          <w:szCs w:val="32"/>
          <w:highlight w:val="none"/>
          <w:lang w:val="en-US" w:eastAsia="zh-CN"/>
        </w:rPr>
        <w:t>名</w:t>
      </w:r>
      <w:r>
        <w:rPr>
          <w:rFonts w:hint="eastAsia" w:ascii="仿宋_GB2312" w:hAnsi="仿宋" w:eastAsia="仿宋_GB2312"/>
          <w:sz w:val="32"/>
          <w:szCs w:val="32"/>
          <w:highlight w:val="none"/>
          <w:lang w:eastAsia="zh-CN"/>
        </w:rPr>
        <w:t>，工勤人员</w:t>
      </w:r>
      <w:r>
        <w:rPr>
          <w:rFonts w:hint="eastAsia" w:eastAsia="黑体" w:cs="Times New Roman"/>
          <w:kern w:val="2"/>
          <w:sz w:val="32"/>
          <w:szCs w:val="32"/>
          <w:lang w:val="en-US" w:eastAsia="zh-CN" w:bidi="ar-SA"/>
        </w:rPr>
        <w:t>3</w:t>
      </w:r>
      <w:r>
        <w:rPr>
          <w:rFonts w:hint="eastAsia" w:ascii="仿宋_GB2312" w:hAnsi="仿宋" w:eastAsia="仿宋_GB2312"/>
          <w:sz w:val="32"/>
          <w:szCs w:val="32"/>
          <w:highlight w:val="none"/>
          <w:lang w:eastAsia="zh-CN"/>
        </w:rPr>
        <w:t>名，事业人员</w:t>
      </w:r>
      <w:r>
        <w:rPr>
          <w:rFonts w:hint="eastAsia" w:eastAsia="黑体" w:cs="Times New Roman"/>
          <w:kern w:val="2"/>
          <w:sz w:val="32"/>
          <w:szCs w:val="32"/>
          <w:lang w:val="en-US" w:eastAsia="zh-CN" w:bidi="ar-SA"/>
        </w:rPr>
        <w:t>7</w:t>
      </w:r>
      <w:r>
        <w:rPr>
          <w:rFonts w:hint="eastAsia" w:ascii="仿宋_GB2312" w:hAnsi="仿宋" w:eastAsia="仿宋_GB2312"/>
          <w:sz w:val="32"/>
          <w:szCs w:val="32"/>
          <w:highlight w:val="none"/>
          <w:lang w:eastAsia="zh-CN"/>
        </w:rPr>
        <w:t>名。</w:t>
      </w:r>
    </w:p>
    <w:p w14:paraId="44A895B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93DF7E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Cs w:val="32"/>
          <w:highlight w:val="none"/>
          <w:shd w:val="clear" w:color="auto" w:fill="FFFFFF"/>
          <w:lang w:val="zh-CN"/>
        </w:rPr>
        <w:t>（一）收入情况。</w:t>
      </w:r>
      <w:r>
        <w:rPr>
          <w:rFonts w:hint="eastAsia" w:ascii="仿宋_GB2312" w:hAnsi="仿宋" w:eastAsia="仿宋_GB2312" w:cs="Times New Roman"/>
          <w:sz w:val="32"/>
          <w:szCs w:val="32"/>
          <w:highlight w:val="none"/>
          <w:lang w:eastAsia="zh-CN"/>
        </w:rPr>
        <w:t>天全县人民代表大会常务委员会办公室</w:t>
      </w:r>
      <w:r>
        <w:rPr>
          <w:rFonts w:hint="eastAsia" w:ascii="仿宋_GB2312" w:hAnsi="仿宋" w:cs="Times New Roman"/>
          <w:sz w:val="32"/>
          <w:szCs w:val="32"/>
          <w:highlight w:val="none"/>
          <w:lang w:eastAsia="zh-CN"/>
        </w:rPr>
        <w:t>2025</w:t>
      </w:r>
      <w:r>
        <w:rPr>
          <w:rFonts w:hint="eastAsia" w:ascii="仿宋_GB2312" w:hAnsi="仿宋" w:eastAsia="仿宋_GB2312" w:cs="Times New Roman"/>
          <w:sz w:val="32"/>
          <w:szCs w:val="32"/>
          <w:highlight w:val="none"/>
          <w:lang w:eastAsia="zh-CN"/>
        </w:rPr>
        <w:t>年年初预算收入</w:t>
      </w:r>
      <w:r>
        <w:rPr>
          <w:rFonts w:hint="eastAsia" w:ascii="Times New Roman" w:hAnsi="Times New Roman" w:eastAsia="黑体" w:cs="Times New Roman"/>
          <w:color w:val="auto"/>
          <w:sz w:val="32"/>
          <w:szCs w:val="32"/>
          <w:shd w:val="clear" w:color="auto" w:fill="auto"/>
          <w:lang w:val="en-US" w:eastAsia="zh-CN"/>
        </w:rPr>
        <w:t>549.26</w:t>
      </w:r>
      <w:r>
        <w:rPr>
          <w:rFonts w:hint="eastAsia" w:ascii="仿宋_GB2312" w:hAnsi="仿宋" w:eastAsia="仿宋_GB2312" w:cs="Times New Roman"/>
          <w:sz w:val="32"/>
          <w:szCs w:val="32"/>
          <w:highlight w:val="none"/>
          <w:lang w:eastAsia="zh-CN"/>
        </w:rPr>
        <w:t>万元</w:t>
      </w:r>
      <w:r>
        <w:rPr>
          <w:rFonts w:hint="eastAsia" w:ascii="仿宋_GB2312" w:hAnsi="仿宋" w:cs="Times New Roman"/>
          <w:sz w:val="32"/>
          <w:szCs w:val="32"/>
          <w:highlight w:val="none"/>
          <w:lang w:eastAsia="zh-CN"/>
        </w:rPr>
        <w:t>，决算报表本年度</w:t>
      </w:r>
      <w:r>
        <w:rPr>
          <w:rFonts w:hint="eastAsia" w:ascii="仿宋_GB2312" w:hAnsi="仿宋" w:eastAsia="仿宋_GB2312" w:cs="Times New Roman"/>
          <w:sz w:val="32"/>
          <w:szCs w:val="32"/>
          <w:highlight w:val="none"/>
          <w:lang w:eastAsia="zh-CN"/>
        </w:rPr>
        <w:t>收入合</w:t>
      </w:r>
      <w:r>
        <w:rPr>
          <w:rFonts w:hint="eastAsia" w:ascii="仿宋_GB2312" w:hAnsi="仿宋" w:cs="Times New Roman"/>
          <w:sz w:val="32"/>
          <w:szCs w:val="32"/>
          <w:highlight w:val="none"/>
          <w:lang w:eastAsia="zh-CN"/>
        </w:rPr>
        <w:t>计</w:t>
      </w:r>
      <w:r>
        <w:rPr>
          <w:rFonts w:hint="eastAsia" w:ascii="Times New Roman" w:hAnsi="Times New Roman" w:eastAsia="黑体" w:cs="Times New Roman"/>
          <w:color w:val="auto"/>
          <w:sz w:val="32"/>
          <w:szCs w:val="32"/>
          <w:shd w:val="clear" w:color="auto" w:fill="auto"/>
          <w:lang w:val="en-US" w:eastAsia="zh-CN"/>
        </w:rPr>
        <w:t>728.26</w:t>
      </w:r>
      <w:r>
        <w:rPr>
          <w:rFonts w:hint="eastAsia" w:ascii="仿宋_GB2312" w:hAnsi="仿宋" w:eastAsia="仿宋_GB2312" w:cs="Times New Roman"/>
          <w:sz w:val="32"/>
          <w:szCs w:val="32"/>
          <w:highlight w:val="none"/>
          <w:lang w:eastAsia="zh-CN"/>
        </w:rPr>
        <w:t>万元。</w:t>
      </w:r>
    </w:p>
    <w:p w14:paraId="79D8BFA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（二）支出情况。</w:t>
      </w:r>
      <w:r>
        <w:rPr>
          <w:rFonts w:hint="eastAsia" w:ascii="仿宋_GB2312" w:hAnsi="仿宋" w:eastAsia="仿宋_GB2312" w:cs="Times New Roman"/>
          <w:sz w:val="32"/>
          <w:szCs w:val="32"/>
          <w:highlight w:val="none"/>
          <w:lang w:eastAsia="zh-CN"/>
        </w:rPr>
        <w:t>天全县人民代表大会常务委员会办公室</w:t>
      </w:r>
      <w:r>
        <w:rPr>
          <w:rFonts w:hint="eastAsia" w:ascii="仿宋_GB2312" w:hAnsi="仿宋" w:cs="Times New Roman"/>
          <w:sz w:val="32"/>
          <w:szCs w:val="32"/>
          <w:highlight w:val="none"/>
          <w:lang w:eastAsia="zh-CN"/>
        </w:rPr>
        <w:t>2025</w:t>
      </w:r>
      <w:r>
        <w:rPr>
          <w:rFonts w:hint="eastAsia" w:ascii="仿宋_GB2312" w:hAnsi="仿宋" w:eastAsia="仿宋_GB2312" w:cs="Times New Roman"/>
          <w:sz w:val="32"/>
          <w:szCs w:val="32"/>
          <w:highlight w:val="none"/>
          <w:lang w:eastAsia="zh-CN"/>
        </w:rPr>
        <w:t>年年初预算支出</w:t>
      </w:r>
      <w:r>
        <w:rPr>
          <w:rFonts w:hint="eastAsia" w:ascii="Times New Roman" w:hAnsi="Times New Roman" w:eastAsia="黑体" w:cs="Times New Roman"/>
          <w:color w:val="auto"/>
          <w:sz w:val="32"/>
          <w:szCs w:val="32"/>
          <w:shd w:val="clear" w:color="auto" w:fill="auto"/>
          <w:lang w:val="en-US" w:eastAsia="zh-CN"/>
        </w:rPr>
        <w:t>549.26</w:t>
      </w:r>
      <w:r>
        <w:rPr>
          <w:rFonts w:hint="eastAsia" w:ascii="仿宋_GB2312" w:hAnsi="仿宋" w:eastAsia="仿宋_GB2312" w:cs="Times New Roman"/>
          <w:sz w:val="32"/>
          <w:szCs w:val="32"/>
          <w:highlight w:val="none"/>
          <w:lang w:eastAsia="zh-CN"/>
        </w:rPr>
        <w:t>万元、决算报表支出</w:t>
      </w:r>
      <w:r>
        <w:rPr>
          <w:rFonts w:hint="eastAsia" w:ascii="Times New Roman" w:hAnsi="Times New Roman" w:eastAsia="黑体" w:cs="Times New Roman"/>
          <w:color w:val="auto"/>
          <w:sz w:val="32"/>
          <w:szCs w:val="32"/>
          <w:shd w:val="clear" w:color="auto" w:fill="auto"/>
          <w:lang w:val="en-US" w:eastAsia="zh-CN"/>
        </w:rPr>
        <w:t>728.26</w:t>
      </w:r>
      <w:r>
        <w:rPr>
          <w:rFonts w:hint="eastAsia" w:ascii="仿宋_GB2312" w:hAnsi="仿宋" w:eastAsia="仿宋_GB2312" w:cs="Times New Roman"/>
          <w:sz w:val="32"/>
          <w:szCs w:val="32"/>
          <w:highlight w:val="none"/>
          <w:lang w:eastAsia="zh-CN"/>
        </w:rPr>
        <w:t>万元。</w:t>
      </w:r>
    </w:p>
    <w:p w14:paraId="78A1BB2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szCs w:val="32"/>
        </w:rPr>
        <w:t>结余分配和结转结余情况</w:t>
      </w:r>
      <w:r>
        <w:rPr>
          <w:rFonts w:hint="default" w:ascii="Times New Roman" w:hAnsi="Times New Roman" w:eastAsia="楷体_GB2312" w:cs="Times New Roman"/>
          <w:b/>
          <w:szCs w:val="32"/>
          <w:lang w:eastAsia="zh-CN"/>
        </w:rPr>
        <w:t>。</w:t>
      </w:r>
      <w:r>
        <w:rPr>
          <w:rFonts w:hint="eastAsia" w:ascii="仿宋_GB2312" w:hAnsi="仿宋" w:eastAsia="仿宋_GB2312" w:cs="Times New Roman"/>
          <w:sz w:val="32"/>
          <w:szCs w:val="32"/>
          <w:highlight w:val="none"/>
          <w:lang w:eastAsia="zh-CN"/>
        </w:rPr>
        <w:t>天全县人民代表大会常务委员会办公室</w:t>
      </w:r>
      <w:r>
        <w:rPr>
          <w:rFonts w:hint="eastAsia" w:cs="Times New Roman"/>
          <w:szCs w:val="32"/>
          <w:lang w:val="en-US" w:eastAsia="zh-CN"/>
        </w:rPr>
        <w:t>2025</w:t>
      </w:r>
      <w:r>
        <w:rPr>
          <w:rFonts w:hint="default" w:ascii="Times New Roman" w:hAnsi="Times New Roman" w:cs="Times New Roman"/>
          <w:szCs w:val="32"/>
          <w:lang w:val="en-US" w:eastAsia="zh-CN"/>
        </w:rPr>
        <w:t>年</w:t>
      </w:r>
      <w:r>
        <w:rPr>
          <w:rFonts w:hint="eastAsia" w:cs="Times New Roman"/>
          <w:szCs w:val="32"/>
          <w:lang w:val="en-US" w:eastAsia="zh-CN"/>
        </w:rPr>
        <w:t>无年末</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p>
    <w:p w14:paraId="04DFFD3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5463BD7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（一）部门预算总体绩效分析。</w:t>
      </w:r>
    </w:p>
    <w:p w14:paraId="5DEB1E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Times New Roman" w:hAnsi="Times New Roman" w:eastAsia="楷体_GB2312" w:cs="Times New Roman"/>
          <w:color w:val="000000"/>
          <w:kern w:val="0"/>
          <w:szCs w:val="32"/>
          <w:highlight w:val="none"/>
          <w:shd w:val="clear" w:color="auto" w:fill="FFFFFF"/>
          <w:lang w:val="en-US" w:eastAsia="zh-CN"/>
        </w:rPr>
        <w:t>1.履职效能。</w:t>
      </w:r>
    </w:p>
    <w:p w14:paraId="0DF1B6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天全县人民代表大会常务委员会办公室坚持以习近平新时代中国特色社会主义思想为指导，坚持稳中求进工作总基调，坚持解放思想、实事求是、与时俱进、求真务实，落实</w:t>
      </w:r>
      <w:r>
        <w:rPr>
          <w:rFonts w:hint="eastAsia" w:ascii="仿宋_GB2312" w:hAnsi="仿宋" w:cs="Times New Roman"/>
          <w:sz w:val="32"/>
          <w:szCs w:val="32"/>
          <w:highlight w:val="none"/>
          <w:lang w:eastAsia="zh-CN"/>
        </w:rPr>
        <w:t>县</w:t>
      </w:r>
      <w:r>
        <w:rPr>
          <w:rFonts w:hint="eastAsia" w:ascii="仿宋_GB2312" w:hAnsi="仿宋" w:eastAsia="仿宋_GB2312" w:cs="Times New Roman"/>
          <w:sz w:val="32"/>
          <w:szCs w:val="32"/>
          <w:highlight w:val="none"/>
          <w:lang w:eastAsia="zh-CN"/>
        </w:rPr>
        <w:t>委相关决策部署。始终做到观大势、谋大局、抓大事，依法履职，担当作为，推动全</w:t>
      </w:r>
      <w:r>
        <w:rPr>
          <w:rFonts w:hint="eastAsia" w:ascii="仿宋_GB2312" w:hAnsi="仿宋" w:cs="Times New Roman"/>
          <w:sz w:val="32"/>
          <w:szCs w:val="32"/>
          <w:highlight w:val="none"/>
          <w:lang w:eastAsia="zh-CN"/>
        </w:rPr>
        <w:t>县</w:t>
      </w:r>
      <w:r>
        <w:rPr>
          <w:rFonts w:hint="eastAsia" w:ascii="仿宋_GB2312" w:hAnsi="仿宋" w:eastAsia="仿宋_GB2312" w:cs="Times New Roman"/>
          <w:sz w:val="32"/>
          <w:szCs w:val="32"/>
          <w:highlight w:val="none"/>
          <w:lang w:eastAsia="zh-CN"/>
        </w:rPr>
        <w:t>经济社会高质量发展。认真主持召开主任会议、常委会会议，听审专项工作报告，组织执法检查，开展专题询问，作出决议决定，任免国家机关工作人员，开展专题调研和专项视察，全面完成了各项目标任务。</w:t>
      </w:r>
    </w:p>
    <w:p w14:paraId="350BAC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楷体_GB2312" w:cs="Times New Roman"/>
          <w:color w:val="000000"/>
          <w:kern w:val="0"/>
          <w:szCs w:val="32"/>
          <w:highlight w:val="none"/>
          <w:shd w:val="clear" w:color="auto" w:fill="FFFFFF"/>
          <w:lang w:val="en-US" w:eastAsia="zh-CN"/>
        </w:rPr>
      </w:pPr>
      <w:r>
        <w:rPr>
          <w:rFonts w:hint="eastAsia" w:ascii="Times New Roman" w:hAnsi="Times New Roman" w:eastAsia="楷体_GB2312" w:cs="Times New Roman"/>
          <w:color w:val="000000"/>
          <w:kern w:val="0"/>
          <w:szCs w:val="32"/>
          <w:highlight w:val="none"/>
          <w:shd w:val="clear" w:color="auto" w:fill="FFFFFF"/>
          <w:lang w:val="en-US" w:eastAsia="zh-CN"/>
        </w:rPr>
        <w:t>2.预算管理。</w:t>
      </w:r>
    </w:p>
    <w:p w14:paraId="400549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加强单位的预算管理，坚持“先有预算、后有支出”的理念，认真编制全口径预算，严格按批准的预算执行。切实加强公务接待经费、因公出国（境）经费、公务用车购置和运行经费及会议费、培训费等费用管理，将厉行节约与部门预算紧密结合，从严从紧编制预算，并强化预算执行，努力降低行政运行成本。</w:t>
      </w:r>
    </w:p>
    <w:p w14:paraId="61CF2BF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楷体_GB2312" w:cs="Times New Roman"/>
          <w:color w:val="000000"/>
          <w:kern w:val="0"/>
          <w:szCs w:val="32"/>
          <w:highlight w:val="none"/>
          <w:shd w:val="clear" w:color="auto" w:fill="FFFFFF"/>
          <w:lang w:val="en-US" w:eastAsia="zh-CN"/>
        </w:rPr>
      </w:pPr>
      <w:r>
        <w:rPr>
          <w:rFonts w:hint="eastAsia" w:ascii="Times New Roman" w:hAnsi="Times New Roman" w:eastAsia="楷体_GB2312" w:cs="Times New Roman"/>
          <w:color w:val="000000"/>
          <w:kern w:val="0"/>
          <w:szCs w:val="32"/>
          <w:highlight w:val="none"/>
          <w:shd w:val="clear" w:color="auto" w:fill="FFFFFF"/>
          <w:lang w:val="en-US" w:eastAsia="zh-CN"/>
        </w:rPr>
        <w:t>3.财务管理。</w:t>
      </w:r>
    </w:p>
    <w:p w14:paraId="591CB1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（1）财务管理制度。天全县人民代表大会常务委员会办公室严格遵守财经纪律的有关规定，加强财务管理和监督，提高资金使用效益，保障各项工作任务顺利完成。结合实际，制定了</w:t>
      </w:r>
      <w:r>
        <w:rPr>
          <w:rFonts w:hint="eastAsia" w:ascii="仿宋_GB2312" w:hAnsi="仿宋" w:cs="Times New Roman"/>
          <w:sz w:val="32"/>
          <w:szCs w:val="32"/>
          <w:highlight w:val="none"/>
          <w:lang w:eastAsia="zh-CN"/>
        </w:rPr>
        <w:t>天全县人大机关财务管理办法</w:t>
      </w:r>
      <w:r>
        <w:rPr>
          <w:rFonts w:hint="eastAsia" w:ascii="仿宋_GB2312" w:hAnsi="仿宋" w:eastAsia="仿宋_GB2312" w:cs="Times New Roman"/>
          <w:sz w:val="32"/>
          <w:szCs w:val="32"/>
          <w:highlight w:val="none"/>
          <w:lang w:eastAsia="zh-CN"/>
        </w:rPr>
        <w:t>。</w:t>
      </w:r>
    </w:p>
    <w:p w14:paraId="349A93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（2）财务岗位设置。天全县人民代表大会常务委员会办公室按照财务岗位设置原则，严格实行不相容岗位分离，不断优化岗位设置，明确岗位职责，加强内部控制。</w:t>
      </w:r>
    </w:p>
    <w:p w14:paraId="551910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eastAsia="zh-CN"/>
        </w:rPr>
        <w:t>（3）资金使用规范。天全县人民代表大会常务委员会办公室按照</w:t>
      </w:r>
      <w:r>
        <w:rPr>
          <w:rFonts w:hint="eastAsia" w:ascii="仿宋_GB2312" w:hAnsi="仿宋" w:cs="Times New Roman"/>
          <w:sz w:val="32"/>
          <w:szCs w:val="32"/>
          <w:highlight w:val="none"/>
          <w:lang w:eastAsia="zh-CN"/>
        </w:rPr>
        <w:t>相关</w:t>
      </w:r>
      <w:r>
        <w:rPr>
          <w:rFonts w:hint="eastAsia" w:ascii="仿宋_GB2312" w:hAnsi="仿宋" w:eastAsia="仿宋_GB2312" w:cs="Times New Roman"/>
          <w:sz w:val="32"/>
          <w:szCs w:val="32"/>
          <w:highlight w:val="none"/>
          <w:lang w:eastAsia="zh-CN"/>
        </w:rPr>
        <w:t>规定，通过一体化系统全流程监控资金支付动态，保障资金支付安全、规范、高效，</w:t>
      </w:r>
      <w:r>
        <w:rPr>
          <w:rFonts w:hint="eastAsia" w:ascii="仿宋_GB2312" w:hAnsi="仿宋" w:cs="Times New Roman"/>
          <w:sz w:val="32"/>
          <w:szCs w:val="32"/>
          <w:highlight w:val="none"/>
          <w:lang w:eastAsia="zh-CN"/>
        </w:rPr>
        <w:t>杜绝</w:t>
      </w:r>
      <w:r>
        <w:rPr>
          <w:rFonts w:hint="eastAsia" w:ascii="仿宋_GB2312" w:hAnsi="仿宋" w:eastAsia="仿宋_GB2312" w:cs="Times New Roman"/>
          <w:sz w:val="32"/>
          <w:szCs w:val="32"/>
          <w:highlight w:val="none"/>
          <w:lang w:eastAsia="zh-CN"/>
        </w:rPr>
        <w:t>违规使用资金的情况。</w:t>
      </w:r>
    </w:p>
    <w:p w14:paraId="11A810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Times New Roman" w:hAnsi="Times New Roman" w:eastAsia="楷体_GB2312" w:cs="Times New Roman"/>
          <w:color w:val="000000"/>
          <w:kern w:val="0"/>
          <w:szCs w:val="32"/>
          <w:highlight w:val="none"/>
          <w:shd w:val="clear" w:color="auto" w:fill="FFFFFF"/>
          <w:lang w:val="en-US" w:eastAsia="zh-CN"/>
        </w:rPr>
        <w:t>4.资产管理。</w:t>
      </w:r>
      <w:r>
        <w:rPr>
          <w:rFonts w:hint="eastAsia" w:ascii="仿宋_GB2312" w:hAnsi="仿宋" w:eastAsia="仿宋_GB2312" w:cs="Times New Roman"/>
          <w:sz w:val="32"/>
          <w:szCs w:val="32"/>
          <w:highlight w:val="none"/>
          <w:lang w:eastAsia="zh-CN"/>
        </w:rPr>
        <w:t>完善资产的账卡管理、清查登记、统计报告及日常监督检查；做好资产的采购、验收、维修、保养等工作；按规定办理资产的配置、处置等事项的报批手续。资产利用率较高、近两年无闲置资产。</w:t>
      </w:r>
    </w:p>
    <w:p w14:paraId="46900E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Times New Roman" w:hAnsi="Times New Roman" w:eastAsia="楷体_GB2312" w:cs="Times New Roman"/>
          <w:color w:val="000000"/>
          <w:kern w:val="0"/>
          <w:szCs w:val="32"/>
          <w:highlight w:val="none"/>
          <w:shd w:val="clear" w:color="auto" w:fill="FFFFFF"/>
          <w:lang w:val="en-US" w:eastAsia="zh-CN"/>
        </w:rPr>
        <w:t>5.采购管理。</w:t>
      </w:r>
      <w:r>
        <w:rPr>
          <w:rFonts w:hint="eastAsia" w:ascii="仿宋_GB2312" w:hAnsi="仿宋" w:eastAsia="仿宋_GB2312" w:cs="Times New Roman"/>
          <w:sz w:val="32"/>
          <w:szCs w:val="32"/>
          <w:highlight w:val="none"/>
          <w:lang w:eastAsia="zh-CN"/>
        </w:rPr>
        <w:t>天全县人民代表大会常务委员会办公室严格执行政府采购促进中小企业发展相关办法规定，对适宜由中小企业提供的采购项目和采购包，预留采购份额专门面向中小企业采购。</w:t>
      </w:r>
    </w:p>
    <w:p w14:paraId="780F556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p>
    <w:p w14:paraId="5CDB711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en-US" w:eastAsia="zh-CN"/>
        </w:rPr>
        <w:t>常年项目绩效分析。</w:t>
      </w:r>
      <w:r>
        <w:rPr>
          <w:rFonts w:hint="default" w:ascii="Times New Roman" w:hAnsi="Times New Roman"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131.46</w:t>
      </w:r>
      <w:r>
        <w:rPr>
          <w:rFonts w:hint="default" w:ascii="Times New Roman" w:hAnsi="Times New Roman" w:cs="Times New Roman"/>
          <w:color w:val="000000"/>
          <w:kern w:val="0"/>
          <w:szCs w:val="32"/>
          <w:highlight w:val="none"/>
          <w:shd w:val="clear" w:color="auto" w:fill="FFFFFF"/>
          <w:lang w:val="zh-CN" w:eastAsia="zh-CN"/>
        </w:rPr>
        <w:t>万元，</w:t>
      </w:r>
      <w:r>
        <w:rPr>
          <w:rFonts w:hint="default" w:ascii="Times New Roman" w:hAnsi="Times New Roman"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rPr>
        <w:t>1</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rPr>
        <w:t>%，其中：</w:t>
      </w:r>
      <w:r>
        <w:rPr>
          <w:rFonts w:hint="default" w:ascii="Times New Roman" w:hAnsi="Times New Roman" w:cs="Times New Roman"/>
          <w:color w:val="000000"/>
          <w:kern w:val="0"/>
          <w:szCs w:val="32"/>
          <w:highlight w:val="none"/>
          <w:shd w:val="clear" w:color="auto" w:fill="FFFFFF"/>
          <w:lang w:val="zh-CN" w:eastAsia="zh-CN"/>
        </w:rPr>
        <w:t>预算结余率大于</w:t>
      </w:r>
      <w:r>
        <w:rPr>
          <w:rFonts w:hint="default" w:ascii="Times New Roman" w:hAnsi="Times New Roman"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个。</w:t>
      </w:r>
    </w:p>
    <w:p w14:paraId="66DB5C9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含</w:t>
      </w:r>
      <w:r>
        <w:rPr>
          <w:rFonts w:hint="default" w:ascii="Times New Roman" w:hAnsi="Times New Roman" w:cs="Times New Roman"/>
          <w:color w:val="000000"/>
          <w:kern w:val="0"/>
          <w:szCs w:val="32"/>
          <w:highlight w:val="none"/>
          <w:shd w:val="clear" w:color="auto" w:fill="FFFFFF"/>
          <w:lang w:val="en-US" w:eastAsia="zh-CN"/>
        </w:rPr>
        <w:t>一次性）项目绩效分析。</w:t>
      </w:r>
      <w:r>
        <w:rPr>
          <w:rFonts w:hint="default" w:ascii="Times New Roman" w:hAnsi="Times New Roman"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135.51</w:t>
      </w:r>
      <w:r>
        <w:rPr>
          <w:rFonts w:hint="default" w:ascii="Times New Roman" w:hAnsi="Times New Roman" w:cs="Times New Roman"/>
          <w:color w:val="000000"/>
          <w:kern w:val="0"/>
          <w:szCs w:val="32"/>
          <w:highlight w:val="none"/>
          <w:shd w:val="clear" w:color="auto" w:fill="FFFFFF"/>
          <w:lang w:val="zh-CN" w:eastAsia="zh-CN"/>
        </w:rPr>
        <w:t>万元，</w:t>
      </w:r>
      <w:r>
        <w:rPr>
          <w:rFonts w:hint="default" w:ascii="Times New Roman" w:hAnsi="Times New Roman"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rPr>
        <w:t>1</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rPr>
        <w:t>%，其中：</w:t>
      </w:r>
      <w:r>
        <w:rPr>
          <w:rFonts w:hint="default" w:ascii="Times New Roman" w:hAnsi="Times New Roman" w:cs="Times New Roman"/>
          <w:color w:val="000000"/>
          <w:kern w:val="0"/>
          <w:szCs w:val="32"/>
          <w:highlight w:val="none"/>
          <w:shd w:val="clear" w:color="auto" w:fill="FFFFFF"/>
          <w:lang w:val="zh-CN" w:eastAsia="zh-CN"/>
        </w:rPr>
        <w:t>预算结余率大于</w:t>
      </w:r>
      <w:r>
        <w:rPr>
          <w:rFonts w:hint="default" w:ascii="Times New Roman" w:hAnsi="Times New Roman"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个。</w:t>
      </w:r>
    </w:p>
    <w:p w14:paraId="67A9C92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eastAsia="楷体_GB2312" w:cs="Times New Roman"/>
          <w:color w:val="000000"/>
          <w:kern w:val="0"/>
          <w:szCs w:val="32"/>
          <w:highlight w:val="none"/>
          <w:shd w:val="clear" w:color="auto" w:fill="FFFFFF"/>
          <w:lang w:val="en-US" w:eastAsia="zh-CN"/>
        </w:rPr>
        <w:t>1.</w:t>
      </w:r>
      <w:r>
        <w:rPr>
          <w:rFonts w:hint="default" w:ascii="Times New Roman" w:hAnsi="Times New Roman" w:eastAsia="楷体_GB2312" w:cs="Times New Roman"/>
          <w:color w:val="000000"/>
          <w:kern w:val="0"/>
          <w:szCs w:val="32"/>
          <w:highlight w:val="none"/>
          <w:shd w:val="clear" w:color="auto" w:fill="FFFFFF"/>
          <w:lang w:val="zh-CN"/>
        </w:rPr>
        <w:t>项目决策。</w:t>
      </w:r>
      <w:r>
        <w:rPr>
          <w:rFonts w:hint="default" w:ascii="Times New Roman" w:hAnsi="Times New Roman" w:cs="Times New Roman"/>
          <w:color w:val="000000"/>
          <w:kern w:val="0"/>
          <w:szCs w:val="32"/>
          <w:highlight w:val="none"/>
          <w:shd w:val="clear" w:color="auto" w:fill="FFFFFF"/>
          <w:lang w:val="zh-CN" w:eastAsia="zh-CN"/>
        </w:rPr>
        <w:t>部门预算项目设立均经决策程序审批通过后，按照相关规定履行评估论证、申报程序。部门预算项目绩效目标与任务量、资金量匹配，绩效目标设置科学合理、规范完整、按照预算分配进行量化细化。部门预算项目均按照财政要求在规定时间内完成项目入库与项目登记。</w:t>
      </w:r>
    </w:p>
    <w:p w14:paraId="742608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2.项目执行</w:t>
      </w:r>
      <w:r>
        <w:rPr>
          <w:rFonts w:hint="default" w:ascii="Times New Roman" w:hAnsi="Times New Roman" w:eastAsia="楷体_GB2312"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zh-CN" w:eastAsia="zh-CN"/>
        </w:rPr>
        <w:t>部门预算项目实际列支内容与绩效目标设置方向相符，执行具备同向性。持续关注项目预算执行与目标设置情况，对应采取收回预算、调整目标等处置措施的部门预算阶段项目及时进行了沟通与调整。不存在预算结余率小于10%的常年项目、一次性项目以及阶段项目</w:t>
      </w:r>
      <w:r>
        <w:rPr>
          <w:rFonts w:hint="default" w:ascii="Times New Roman" w:hAnsi="Times New Roman" w:cs="Times New Roman"/>
          <w:color w:val="000000"/>
          <w:kern w:val="0"/>
          <w:szCs w:val="32"/>
          <w:highlight w:val="none"/>
          <w:shd w:val="clear" w:color="auto" w:fill="FFFFFF"/>
          <w:lang w:val="zh-CN"/>
        </w:rPr>
        <w:t>。</w:t>
      </w:r>
    </w:p>
    <w:p w14:paraId="351D2EF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eastAsia="楷体_GB2312" w:cs="Times New Roman"/>
          <w:color w:val="000000"/>
          <w:kern w:val="0"/>
          <w:szCs w:val="32"/>
          <w:highlight w:val="none"/>
          <w:shd w:val="clear" w:color="auto" w:fill="FFFFFF"/>
          <w:lang w:val="en-US" w:eastAsia="zh-CN"/>
        </w:rPr>
        <w:t>3.</w:t>
      </w:r>
      <w:r>
        <w:rPr>
          <w:rFonts w:hint="default" w:ascii="Times New Roman" w:hAnsi="Times New Roman" w:eastAsia="楷体_GB2312" w:cs="Times New Roman"/>
          <w:color w:val="000000"/>
          <w:kern w:val="0"/>
          <w:szCs w:val="32"/>
          <w:highlight w:val="none"/>
          <w:shd w:val="clear" w:color="auto" w:fill="FFFFFF"/>
          <w:lang w:val="zh-CN"/>
        </w:rPr>
        <w:t>目标实现。</w:t>
      </w:r>
      <w:r>
        <w:rPr>
          <w:rFonts w:hint="default" w:ascii="Times New Roman" w:hAnsi="Times New Roman" w:cs="Times New Roman"/>
          <w:color w:val="000000"/>
          <w:kern w:val="0"/>
          <w:szCs w:val="32"/>
          <w:highlight w:val="none"/>
          <w:shd w:val="clear" w:color="auto" w:fill="FFFFFF"/>
          <w:lang w:val="zh-CN" w:eastAsia="zh-CN"/>
        </w:rPr>
        <w:t>项目基本完成，初步实现了预期目标。通过各个项目的实施，确保了各项工作的稳步推进。</w:t>
      </w:r>
    </w:p>
    <w:p w14:paraId="59DC52D9">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楷体_GB2312" w:cs="Times New Roman"/>
          <w:b/>
          <w:bCs/>
          <w:szCs w:val="32"/>
          <w:lang w:val="zh-CN"/>
        </w:rPr>
      </w:pPr>
      <w:r>
        <w:rPr>
          <w:rFonts w:hint="default"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szCs w:val="32"/>
          <w:lang w:val="zh-CN"/>
        </w:rPr>
        <w:t>绩效结果应用情况。</w:t>
      </w:r>
    </w:p>
    <w:p w14:paraId="7DC8B8E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eastAsia="楷体_GB2312" w:cs="Times New Roman"/>
          <w:color w:val="000000"/>
          <w:kern w:val="0"/>
          <w:szCs w:val="32"/>
          <w:highlight w:val="none"/>
          <w:shd w:val="clear" w:color="auto" w:fill="FFFFFF"/>
          <w:lang w:val="en-US" w:eastAsia="zh-CN"/>
        </w:rPr>
        <w:t>1.内部应用情况。</w:t>
      </w:r>
      <w:r>
        <w:rPr>
          <w:rFonts w:hint="default" w:ascii="Times New Roman" w:hAnsi="Times New Roman" w:cs="Times New Roman"/>
          <w:color w:val="000000"/>
          <w:kern w:val="0"/>
          <w:szCs w:val="32"/>
          <w:highlight w:val="none"/>
          <w:shd w:val="clear" w:color="auto" w:fill="FFFFFF"/>
          <w:lang w:val="en-US" w:eastAsia="zh-CN"/>
        </w:rPr>
        <w:t>继续将本年度绩效目标完成</w:t>
      </w:r>
      <w:r>
        <w:rPr>
          <w:rFonts w:hint="eastAsia" w:ascii="Times New Roman" w:hAnsi="Times New Roman" w:cs="Times New Roman"/>
          <w:color w:val="000000"/>
          <w:kern w:val="0"/>
          <w:szCs w:val="32"/>
          <w:highlight w:val="none"/>
          <w:shd w:val="clear" w:color="auto" w:fill="FFFFFF"/>
          <w:lang w:val="en-US" w:eastAsia="zh-CN"/>
        </w:rPr>
        <w:t xml:space="preserve">情况作为下一年度绩效目标编制重要依据，根据项目实际开展和推进情况，适时调整绩效目标指标，有针对性地开展绩效自评，进一步做到花钱与办事、绩效与责任深度融合，持续探索绩效目标完成情况与人员考核体系挂钩，完善单位内部绩效自评工作机制，进一步细化和明确业务科室和财务科室责任分工，共同促进财政资金使用提质增效。 </w:t>
      </w:r>
    </w:p>
    <w:p w14:paraId="15A27C9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eastAsia="楷体_GB2312" w:cs="Times New Roman"/>
          <w:color w:val="000000"/>
          <w:kern w:val="0"/>
          <w:szCs w:val="32"/>
          <w:highlight w:val="none"/>
          <w:shd w:val="clear" w:color="auto" w:fill="FFFFFF"/>
          <w:lang w:val="en-US" w:eastAsia="zh-CN"/>
        </w:rPr>
        <w:t>2.信息公开情况。</w:t>
      </w:r>
      <w:r>
        <w:rPr>
          <w:rFonts w:hint="eastAsia" w:ascii="Times New Roman" w:hAnsi="Times New Roman" w:cs="Times New Roman"/>
          <w:color w:val="000000"/>
          <w:kern w:val="0"/>
          <w:szCs w:val="32"/>
          <w:highlight w:val="none"/>
          <w:shd w:val="clear" w:color="auto" w:fill="FFFFFF"/>
          <w:lang w:val="en-US" w:eastAsia="zh-CN"/>
        </w:rPr>
        <w:t xml:space="preserve">严格按要求将年度预算项目绩效评价等相关信息整理完善，切实推动单位绩效自评工作开展并实现应评尽评，并随同年度部门决算及时予以公开。 </w:t>
      </w:r>
    </w:p>
    <w:p w14:paraId="1F97A36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eastAsia="楷体_GB2312" w:cs="Times New Roman"/>
          <w:color w:val="000000"/>
          <w:kern w:val="0"/>
          <w:szCs w:val="32"/>
          <w:highlight w:val="none"/>
          <w:shd w:val="clear" w:color="auto" w:fill="FFFFFF"/>
          <w:lang w:val="en-US" w:eastAsia="zh-CN"/>
        </w:rPr>
        <w:t>3.整改反馈情况。</w:t>
      </w:r>
      <w:r>
        <w:rPr>
          <w:rFonts w:hint="eastAsia" w:ascii="Times New Roman" w:hAnsi="Times New Roman" w:cs="Times New Roman"/>
          <w:color w:val="000000"/>
          <w:kern w:val="0"/>
          <w:szCs w:val="32"/>
          <w:highlight w:val="none"/>
          <w:shd w:val="clear" w:color="auto" w:fill="FFFFFF"/>
          <w:lang w:val="en-US" w:eastAsia="zh-CN"/>
        </w:rPr>
        <w:t>针对绩效目标设置和评价管理过程中，包括绩效目标核查、绩效监控核查和重点绩效评价等方面发现的情况，及时梳理，根据绩效评价指标体系更加科学、合理、精准地设置绩效目标指标明细，并将自评结果作为完善内部管理制度、改进预算项目执行与管理、优化细化支出结构等方面的重要依据，加强落实全面整改，切实提高财政资金使用效益。</w:t>
      </w:r>
    </w:p>
    <w:p w14:paraId="431DA61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297911B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_GB2312" w:hAnsi="仿宋" w:eastAsia="仿宋_GB2312" w:cs="Times New Roman"/>
          <w:sz w:val="32"/>
          <w:szCs w:val="32"/>
          <w:highlight w:val="none"/>
          <w:lang w:eastAsia="zh-CN"/>
        </w:rPr>
        <w:t>天全县人民代表大会常务委员会办公室</w:t>
      </w:r>
      <w:r>
        <w:rPr>
          <w:rFonts w:hint="default" w:ascii="Times New Roman" w:hAnsi="Times New Roman" w:eastAsia="仿宋_GB2312" w:cs="Times New Roman"/>
          <w:b w:val="0"/>
          <w:bCs w:val="0"/>
          <w:kern w:val="0"/>
          <w:position w:val="0"/>
          <w:sz w:val="32"/>
          <w:szCs w:val="32"/>
          <w:highlight w:val="none"/>
          <w:lang w:val="en-US" w:eastAsia="zh-CN" w:bidi="ar-SA"/>
        </w:rPr>
        <w:t>部门整体支出绩效自查自评结果良好，全年基本支出保证了部门的正常运行和日常工作的正常开展，项目支出保障了重点工作的开展，按照部门整体支出绩效评价指标体系对</w:t>
      </w:r>
      <w:r>
        <w:rPr>
          <w:rFonts w:hint="eastAsia" w:cs="Times New Roman"/>
          <w:b w:val="0"/>
          <w:bCs w:val="0"/>
          <w:kern w:val="0"/>
          <w:position w:val="0"/>
          <w:sz w:val="32"/>
          <w:szCs w:val="32"/>
          <w:highlight w:val="none"/>
          <w:lang w:val="en-US" w:eastAsia="zh-CN" w:bidi="ar-SA"/>
        </w:rPr>
        <w:t>我单位</w:t>
      </w:r>
      <w:r>
        <w:rPr>
          <w:rFonts w:hint="default" w:ascii="Times New Roman" w:hAnsi="Times New Roman" w:eastAsia="仿宋_GB2312" w:cs="Times New Roman"/>
          <w:b w:val="0"/>
          <w:bCs w:val="0"/>
          <w:kern w:val="0"/>
          <w:position w:val="0"/>
          <w:sz w:val="32"/>
          <w:szCs w:val="32"/>
          <w:highlight w:val="none"/>
          <w:lang w:val="en-US" w:eastAsia="zh-CN" w:bidi="ar-SA"/>
        </w:rPr>
        <w:t>部门预算绩效目标管理、完成结果、信息公开等方面进行了自评，最终自评得分</w:t>
      </w:r>
      <w:r>
        <w:rPr>
          <w:rFonts w:hint="eastAsia" w:cs="Times New Roman"/>
          <w:b w:val="0"/>
          <w:bCs w:val="0"/>
          <w:kern w:val="0"/>
          <w:position w:val="0"/>
          <w:sz w:val="32"/>
          <w:szCs w:val="32"/>
          <w:highlight w:val="none"/>
          <w:lang w:val="en-US" w:eastAsia="zh-CN" w:bidi="ar-SA"/>
        </w:rPr>
        <w:t>95</w:t>
      </w:r>
      <w:r>
        <w:rPr>
          <w:rFonts w:hint="default" w:ascii="Times New Roman" w:hAnsi="Times New Roman" w:eastAsia="仿宋_GB2312" w:cs="Times New Roman"/>
          <w:b w:val="0"/>
          <w:bCs w:val="0"/>
          <w:kern w:val="0"/>
          <w:position w:val="0"/>
          <w:sz w:val="32"/>
          <w:szCs w:val="32"/>
          <w:highlight w:val="none"/>
          <w:lang w:val="en-US" w:eastAsia="zh-CN" w:bidi="ar-SA"/>
        </w:rPr>
        <w:t>分</w:t>
      </w:r>
      <w:r>
        <w:rPr>
          <w:rFonts w:hint="default" w:ascii="Times New Roman" w:hAnsi="Times New Roman" w:cs="Times New Roman"/>
          <w:b w:val="0"/>
          <w:bCs w:val="0"/>
          <w:kern w:val="0"/>
          <w:position w:val="0"/>
          <w:sz w:val="32"/>
          <w:szCs w:val="32"/>
          <w:highlight w:val="none"/>
          <w:lang w:val="en-US" w:eastAsia="zh-CN" w:bidi="ar-SA"/>
        </w:rPr>
        <w:t>。</w:t>
      </w:r>
    </w:p>
    <w:p w14:paraId="1D35DCE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（二）存在问题。</w:t>
      </w:r>
      <w:r>
        <w:rPr>
          <w:rFonts w:hint="default" w:ascii="Times New Roman" w:hAnsi="Times New Roman" w:eastAsia="仿宋_GB2312" w:cs="Times New Roman"/>
          <w:b w:val="0"/>
          <w:bCs w:val="0"/>
          <w:w w:val="95"/>
          <w:kern w:val="0"/>
          <w:position w:val="0"/>
          <w:sz w:val="32"/>
          <w:szCs w:val="32"/>
          <w:highlight w:val="none"/>
          <w:lang w:val="en-US" w:eastAsia="zh-CN" w:bidi="ar-SA"/>
        </w:rPr>
        <w:t>一是绩效评价管理制度尚不健全。还尚未制订绩效相关的管理办法和实施细则，无与实际相结合并具有指导意义的绩效管理工作机制和流程，绩效评价开展缺乏强有力的制度保障。二是绩效评价指标体系还不够完善、合理。财政支出的评价对象涉及行业多，项目之间差异性大，真正能体现项目效果的个性指标，在标准设计上存在难度，导致评价内容不够全面，评价数据采集缺少充分的调查分析和严密的逻辑关系，难以满足不同层面和不同性质的绩效评价需求。三是对绩效评价工作的认识不够。单位对财务绩效不重视，认为绩效评价仅是财务部门的事情，相关项目职责部门配合不够，往往仅能提供有限的财经资料或简单的工作计划、工作总结，绩效评价工作资料非常有限，内容粗浅。大多数时候仅能借用工作计划，工作总结等绩效自评报告的主要内容。四是人员素质有待进一步提高。由于预算绩效管理工作开展时间短，涉及面广，专业性强，加上缺乏系统的培训，单位对预算绩效管理理解不充分，对预算绩效管理业务不精通，在一定程度上影响了绩效评价工作质量。</w:t>
      </w:r>
    </w:p>
    <w:p w14:paraId="12F7AC8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楷体_GB2312" w:cs="Times New Roman"/>
          <w:b/>
          <w:bCs/>
          <w:color w:val="000000"/>
          <w:kern w:val="0"/>
          <w:szCs w:val="32"/>
          <w:highlight w:val="none"/>
          <w:shd w:val="clear" w:color="auto" w:fill="FFFFFF"/>
          <w:lang w:val="zh-CN" w:eastAsia="zh-CN"/>
        </w:rPr>
        <w:t>（三）改进建议。</w:t>
      </w:r>
      <w:bookmarkStart w:id="0" w:name="_Hlk110546638"/>
      <w:r>
        <w:rPr>
          <w:rFonts w:hint="default" w:ascii="Times New Roman" w:hAnsi="Times New Roman" w:eastAsia="仿宋_GB2312" w:cs="Times New Roman"/>
          <w:b w:val="0"/>
          <w:bCs w:val="0"/>
          <w:kern w:val="0"/>
          <w:position w:val="0"/>
          <w:sz w:val="32"/>
          <w:szCs w:val="32"/>
          <w:highlight w:val="none"/>
          <w:lang w:val="en-US" w:eastAsia="zh-CN" w:bidi="ar-SA"/>
        </w:rPr>
        <w:t>一是加大财务绩效评价工作的宣传和培训力度，制订更加详细和适用的考核指标。二是加强整体支出效果和效益情况与绩效目标对比，使得整体支出和绩效目标保持一致性和可持续性。三是加强整体支出效果和效益情况与绩效目标差异情况的分析，进一步优化绩效目标管理。四是进一步全面建立健全相关制度，加强财务人员相关业务的培训学习。</w:t>
      </w:r>
    </w:p>
    <w:bookmarkEnd w:id="0"/>
    <w:p w14:paraId="5B681403">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14:paraId="2468E4F4">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strike w:val="0"/>
          <w:sz w:val="32"/>
          <w:szCs w:val="32"/>
          <w:u w:val="none"/>
          <w:lang w:val="en-US" w:eastAsia="zh-CN" w:bidi="ar"/>
        </w:rPr>
      </w:pPr>
      <w:r>
        <w:rPr>
          <w:rFonts w:hint="default"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strike w:val="0"/>
          <w:sz w:val="32"/>
          <w:szCs w:val="32"/>
          <w:u w:val="none"/>
          <w:lang w:val="en-US" w:eastAsia="zh-CN" w:bidi="ar"/>
        </w:rPr>
        <w:t>部门预算绩效自评打分表</w:t>
      </w:r>
    </w:p>
    <w:p w14:paraId="7F2E0B22">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strike w:val="0"/>
          <w:sz w:val="32"/>
          <w:szCs w:val="32"/>
          <w:u w:val="none"/>
          <w:lang w:val="en-US" w:eastAsia="zh-CN" w:bidi="ar"/>
        </w:rPr>
        <w:t>2.</w:t>
      </w:r>
      <w:r>
        <w:rPr>
          <w:rFonts w:hint="default" w:ascii="Times New Roman" w:hAnsi="Times New Roman" w:cs="Times New Roman"/>
          <w:color w:val="000000"/>
          <w:kern w:val="0"/>
          <w:szCs w:val="32"/>
          <w:highlight w:val="none"/>
          <w:shd w:val="clear" w:color="auto" w:fill="FFFFFF"/>
          <w:lang w:val="en-US" w:eastAsia="zh-CN"/>
        </w:rPr>
        <w:t>部门整体绩效目标完成情况自评表</w:t>
      </w:r>
    </w:p>
    <w:p w14:paraId="3975D5C3">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strike w:val="0"/>
          <w:sz w:val="32"/>
          <w:szCs w:val="32"/>
          <w:u w:val="none"/>
          <w:lang w:eastAsia="zh-CN" w:bidi="ar"/>
        </w:rPr>
      </w:pPr>
      <w:r>
        <w:rPr>
          <w:rFonts w:hint="eastAsia" w:cs="Times New Roman"/>
          <w:color w:val="000000"/>
          <w:kern w:val="0"/>
          <w:szCs w:val="32"/>
          <w:highlight w:val="none"/>
          <w:shd w:val="clear" w:color="auto" w:fill="FFFFFF"/>
          <w:lang w:val="en-US" w:eastAsia="zh-CN"/>
        </w:rPr>
        <w:t>3.</w:t>
      </w:r>
      <w:r>
        <w:rPr>
          <w:rFonts w:hint="default" w:ascii="Times New Roman" w:hAnsi="Times New Roman" w:eastAsia="仿宋_GB2312" w:cs="Times New Roman"/>
          <w:strike w:val="0"/>
          <w:sz w:val="32"/>
          <w:szCs w:val="32"/>
          <w:u w:val="none"/>
          <w:lang w:bidi="ar"/>
        </w:rPr>
        <w:t>部门预算项目支出绩效</w:t>
      </w:r>
      <w:r>
        <w:rPr>
          <w:rFonts w:hint="default" w:ascii="Times New Roman" w:hAnsi="Times New Roman" w:eastAsia="仿宋_GB2312" w:cs="Times New Roman"/>
          <w:strike w:val="0"/>
          <w:sz w:val="32"/>
          <w:szCs w:val="32"/>
          <w:u w:val="none"/>
          <w:lang w:eastAsia="zh-CN" w:bidi="ar"/>
        </w:rPr>
        <w:t>评价</w:t>
      </w:r>
      <w:r>
        <w:rPr>
          <w:rFonts w:hint="default" w:ascii="Times New Roman" w:hAnsi="Times New Roman" w:eastAsia="仿宋_GB2312" w:cs="Times New Roman"/>
          <w:strike w:val="0"/>
          <w:sz w:val="32"/>
          <w:szCs w:val="32"/>
          <w:u w:val="none"/>
          <w:lang w:bidi="ar"/>
        </w:rPr>
        <w:t>表</w:t>
      </w:r>
      <w:r>
        <w:rPr>
          <w:rFonts w:hint="default" w:ascii="Times New Roman" w:hAnsi="Times New Roman" w:eastAsia="仿宋_GB2312" w:cs="Times New Roman"/>
          <w:strike w:val="0"/>
          <w:sz w:val="32"/>
          <w:szCs w:val="32"/>
          <w:u w:val="none"/>
          <w:lang w:eastAsia="zh-CN" w:bidi="ar"/>
        </w:rPr>
        <w:t>（</w:t>
      </w:r>
      <w:r>
        <w:rPr>
          <w:rFonts w:hint="eastAsia" w:cs="Times New Roman"/>
          <w:strike w:val="0"/>
          <w:sz w:val="32"/>
          <w:szCs w:val="32"/>
          <w:u w:val="none"/>
          <w:lang w:eastAsia="zh-CN" w:bidi="ar"/>
        </w:rPr>
        <w:t>2025</w:t>
      </w:r>
      <w:r>
        <w:rPr>
          <w:rFonts w:hint="default" w:ascii="Times New Roman" w:hAnsi="Times New Roman" w:eastAsia="仿宋_GB2312" w:cs="Times New Roman"/>
          <w:strike w:val="0"/>
          <w:sz w:val="32"/>
          <w:szCs w:val="32"/>
          <w:u w:val="none"/>
          <w:lang w:eastAsia="zh-CN" w:bidi="ar"/>
        </w:rPr>
        <w:t>年度）</w:t>
      </w:r>
    </w:p>
    <w:p w14:paraId="26A73626">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3B60F13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4"/>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14:paraId="1D1C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27A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4B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036FD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2BE0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4B585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4E4E7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24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6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D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0C07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3B5676B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7F1D8A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27116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364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8D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5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0BA8F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5E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93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13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E6C5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623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96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F8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E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72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AB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43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34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E1F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D79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F0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6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C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EE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DC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332E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81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6C8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5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2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EC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CB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D5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5C97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9A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EA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C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5C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7C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EB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0D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4ECE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DF8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62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D6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F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186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43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E0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609D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7CD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A8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DE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C4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83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50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0A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1730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852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60F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0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B3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85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DB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A9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73F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387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5D1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5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F5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4C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08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63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ACE4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3D8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BA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07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B3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F9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6A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B9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5EE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109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D30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2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8C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3F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D1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62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F54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16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D4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43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7A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B41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F5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95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BC2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C29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EF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4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F0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06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C8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98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0D93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045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004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BA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2A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96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7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A4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55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96B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709A0E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5A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6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E9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04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EA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24C1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D1A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6E3BB7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3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4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33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3D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95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987E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EF8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4A55A2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1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51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FC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55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77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416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E38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7C01C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7C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EC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0C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29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9D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FE3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2E8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A78D7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461EB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40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23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4F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F2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B2F4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166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6F8DA97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D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7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60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FE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C8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59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655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5DD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E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3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A6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94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C1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6E17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CD13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60C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D1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82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81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9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DA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18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646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EC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CD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01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FD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EE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88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10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4C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5E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7C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82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2C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E2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2A141970">
      <w:pPr>
        <w:pStyle w:val="18"/>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14:paraId="1C6604B1">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14:paraId="65C37F47">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14"/>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6"/>
        <w:gridCol w:w="933"/>
        <w:gridCol w:w="1100"/>
        <w:gridCol w:w="3160"/>
        <w:gridCol w:w="750"/>
        <w:gridCol w:w="440"/>
        <w:gridCol w:w="280"/>
        <w:gridCol w:w="730"/>
        <w:gridCol w:w="610"/>
        <w:gridCol w:w="1441"/>
      </w:tblGrid>
      <w:tr w14:paraId="74603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67288E65">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14:paraId="192EF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7AB9C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w:t>
            </w:r>
            <w:r>
              <w:rPr>
                <w:rFonts w:hint="eastAsia" w:eastAsia="宋体" w:cs="Times New Roman"/>
                <w:i w:val="0"/>
                <w:color w:val="000000"/>
                <w:kern w:val="0"/>
                <w:sz w:val="28"/>
                <w:szCs w:val="28"/>
                <w:u w:val="none"/>
                <w:lang w:val="en-US" w:eastAsia="zh-CN" w:bidi="ar"/>
              </w:rPr>
              <w:t>2025</w:t>
            </w:r>
            <w:r>
              <w:rPr>
                <w:rFonts w:hint="default" w:ascii="Times New Roman" w:hAnsi="Times New Roman" w:eastAsia="宋体" w:cs="Times New Roman"/>
                <w:i w:val="0"/>
                <w:color w:val="000000"/>
                <w:kern w:val="0"/>
                <w:sz w:val="28"/>
                <w:szCs w:val="28"/>
                <w:u w:val="none"/>
                <w:lang w:val="en-US" w:eastAsia="zh-CN" w:bidi="ar"/>
              </w:rPr>
              <w:t>年度）</w:t>
            </w:r>
          </w:p>
        </w:tc>
      </w:tr>
      <w:tr w14:paraId="0E150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00E0BE7A">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434E6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1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E76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部门名称</w:t>
            </w:r>
          </w:p>
        </w:tc>
        <w:tc>
          <w:tcPr>
            <w:tcW w:w="741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711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天全县人民代表大会常务委员会</w:t>
            </w:r>
          </w:p>
        </w:tc>
      </w:tr>
      <w:tr w14:paraId="44DAC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E3A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41A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资金总额</w:t>
            </w:r>
          </w:p>
        </w:tc>
        <w:tc>
          <w:tcPr>
            <w:tcW w:w="4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6F2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财政拨款</w:t>
            </w:r>
          </w:p>
        </w:tc>
        <w:tc>
          <w:tcPr>
            <w:tcW w:w="30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1ACD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其他资金</w:t>
            </w:r>
          </w:p>
        </w:tc>
      </w:tr>
      <w:tr w14:paraId="07AA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FB1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4"/>
                <w:szCs w:val="24"/>
                <w:u w:val="none"/>
              </w:rPr>
            </w:pP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E2C31">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549.26</w:t>
            </w:r>
          </w:p>
        </w:tc>
        <w:tc>
          <w:tcPr>
            <w:tcW w:w="4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69C9A">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549.26</w:t>
            </w:r>
          </w:p>
        </w:tc>
        <w:tc>
          <w:tcPr>
            <w:tcW w:w="30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571D1F">
            <w:pPr>
              <w:keepNext w:val="0"/>
              <w:keepLines w:val="0"/>
              <w:pageBreakBefore w:val="0"/>
              <w:widowControl/>
              <w:kinsoku/>
              <w:wordWrap/>
              <w:overflowPunct/>
              <w:topLinePunct w:val="0"/>
              <w:autoSpaceDE/>
              <w:autoSpaceDN/>
              <w:bidi w:val="0"/>
              <w:adjustRightInd/>
              <w:snapToGrid/>
              <w:spacing w:line="280" w:lineRule="exact"/>
              <w:jc w:val="right"/>
              <w:rPr>
                <w:rFonts w:hint="default" w:ascii="Times New Roman" w:hAnsi="Times New Roman" w:eastAsia="宋体" w:cs="Times New Roman"/>
                <w:i w:val="0"/>
                <w:color w:val="000000"/>
                <w:sz w:val="24"/>
                <w:szCs w:val="24"/>
                <w:u w:val="none"/>
              </w:rPr>
            </w:pPr>
          </w:p>
        </w:tc>
      </w:tr>
      <w:tr w14:paraId="4AC8B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FD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年度总体目标</w:t>
            </w:r>
          </w:p>
        </w:tc>
        <w:tc>
          <w:tcPr>
            <w:tcW w:w="94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8D69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 xml:space="preserve">按规定完成人大会议、常委会议、主任会议，保障各项会议顺利召开，专款专用且在规定的时间内使用。组织市、县、乡人大开展调研、视察、学习，为县域经济的发展建言献策，参政议政、实行法律和工作监督。保障各委室开展调研。 </w:t>
            </w:r>
          </w:p>
        </w:tc>
      </w:tr>
      <w:tr w14:paraId="1DE2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495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年度主要</w:t>
            </w:r>
          </w:p>
          <w:p w14:paraId="5E9714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18"/>
                <w:szCs w:val="18"/>
                <w:u w:val="none"/>
                <w:lang w:val="en-US" w:eastAsia="zh-CN" w:bidi="ar"/>
              </w:rPr>
              <w:t>任务</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FDA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任务名称</w:t>
            </w:r>
          </w:p>
        </w:tc>
        <w:tc>
          <w:tcPr>
            <w:tcW w:w="741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654DF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主要内容</w:t>
            </w:r>
          </w:p>
        </w:tc>
      </w:tr>
      <w:tr w14:paraId="76DA7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FDD07">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8FC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县级领导联系乡镇和项目工作经费</w:t>
            </w:r>
          </w:p>
        </w:tc>
        <w:tc>
          <w:tcPr>
            <w:tcW w:w="741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2730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该经费主要保障县级领导与所联系的乡镇经济的发展，促进相关项目、特色产业的发展，改善人居生产生活环境，提高群众的满意度。</w:t>
            </w:r>
          </w:p>
        </w:tc>
      </w:tr>
      <w:tr w14:paraId="3FCE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6"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346BC">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521B61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常委会议 </w:t>
            </w:r>
          </w:p>
        </w:tc>
        <w:tc>
          <w:tcPr>
            <w:tcW w:w="7411" w:type="dxa"/>
            <w:gridSpan w:val="7"/>
            <w:tcBorders>
              <w:top w:val="single" w:color="000000" w:sz="4" w:space="0"/>
              <w:left w:val="single" w:color="000000" w:sz="4" w:space="0"/>
              <w:bottom w:val="single" w:color="auto" w:sz="4" w:space="0"/>
              <w:right w:val="single" w:color="000000" w:sz="4" w:space="0"/>
            </w:tcBorders>
            <w:shd w:val="clear" w:color="auto" w:fill="auto"/>
            <w:vAlign w:val="center"/>
          </w:tcPr>
          <w:p w14:paraId="3DCF8E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人大常委会议保障人大年度常委会议所需的经费，主要用于会议用品采购、会议资料印刷等专项开支。</w:t>
            </w:r>
          </w:p>
        </w:tc>
      </w:tr>
      <w:tr w14:paraId="76B5B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6"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EA2E7">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1AE2F0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乡镇人大主席团工作经费</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3F5038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保障乡镇人大主席团经费的开支，调研学习等。</w:t>
            </w:r>
          </w:p>
        </w:tc>
      </w:tr>
      <w:tr w14:paraId="472AB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5F677">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3B8A1AA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临工经费</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6A94F2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临工经费有力的保障了单位内部日常内勤工作的完成、环境卫生的打扫，有利于营造干净舒适的环境卫生和办公环境。</w:t>
            </w:r>
          </w:p>
        </w:tc>
      </w:tr>
      <w:tr w14:paraId="52402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28F8F">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336601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县人大代表履职补助</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22A4C3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170名县人大代表，每人800元 。用于人大代表到县内外进行调研、视察和学习活动补助。</w:t>
            </w:r>
          </w:p>
        </w:tc>
      </w:tr>
      <w:tr w14:paraId="3967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6"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459F3">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1C2AC9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人大会议</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3FCBA0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一年一度的人民代表大会是全县人代会、党代会、政协会中的三大会议之一,会期一般是4-5天,参会人员约450人。该项经费为保障会议各项费用开支，会议室租赁、会议报告调研、会议用品准备等</w:t>
            </w:r>
          </w:p>
        </w:tc>
      </w:tr>
      <w:tr w14:paraId="53A7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E191B">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1E39E9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人大工作</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51D93D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通过项目实施,保障人大代表参加调研、视察活动的正常进行,保障人大机关联乡包村,巩固脱贫攻坚成果及县委、县政府安排的中心工作的顺利开展以及人大机关日常工作的正常进行。</w:t>
            </w:r>
          </w:p>
        </w:tc>
      </w:tr>
      <w:tr w14:paraId="3CC48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C50F0">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2A0CBA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县人大代表活动经费</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5542A7E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通过项目实施,社会各界与人大代表方式建言献策,来参政议政,实行法律和工作监督,促进地方经济社会发展。</w:t>
            </w:r>
          </w:p>
        </w:tc>
      </w:tr>
      <w:tr w14:paraId="4730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2851">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4CA06F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主任会议</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5A84FD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人大常委会主任会议经费保障人大常委会主任会议所需经费，主要用于会议用品采购、会议资料印刷等专项经费开支。</w:t>
            </w:r>
          </w:p>
        </w:tc>
      </w:tr>
      <w:tr w14:paraId="2F06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10D85">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35F117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老区建设促进会工作经费</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661219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老区建设促进会工作经费全年8万元，老促会成员县内外进行调研、视察和学习活动。</w:t>
            </w:r>
          </w:p>
        </w:tc>
      </w:tr>
      <w:tr w14:paraId="5F001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D2F62">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405684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基本支出 </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74176B2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用于保障基本行政运行、人员基本工资、津贴补贴、奖金、伙食补助费、绩效工资、机关事业单位基本养老保险缴费、职业年金缴费、其他社会保障缴费、其他工资福利支出、离休费、退休费、</w:t>
            </w:r>
          </w:p>
        </w:tc>
      </w:tr>
      <w:tr w14:paraId="22D39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6C28B">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2033"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32A3AB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委室经费</w:t>
            </w:r>
          </w:p>
        </w:tc>
        <w:tc>
          <w:tcPr>
            <w:tcW w:w="7411" w:type="dxa"/>
            <w:gridSpan w:val="7"/>
            <w:tcBorders>
              <w:top w:val="single" w:color="auto" w:sz="4" w:space="0"/>
              <w:left w:val="single" w:color="000000" w:sz="4" w:space="0"/>
              <w:bottom w:val="single" w:color="auto" w:sz="4" w:space="0"/>
              <w:right w:val="single" w:color="000000" w:sz="4" w:space="0"/>
            </w:tcBorders>
            <w:shd w:val="clear" w:color="auto" w:fill="auto"/>
            <w:vAlign w:val="center"/>
          </w:tcPr>
          <w:p w14:paraId="2E43DE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该经费用于保障人大机关各专门委员会、研究室、办公室开展工作所需经费保障，各委室调研课题有利于促进县域经济文化的发展。</w:t>
            </w:r>
          </w:p>
        </w:tc>
      </w:tr>
      <w:tr w14:paraId="12CC5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8BF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outlineLvl w:val="9"/>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年度绩效</w:t>
            </w:r>
          </w:p>
          <w:p w14:paraId="75024C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18"/>
                <w:szCs w:val="18"/>
                <w:u w:val="none"/>
                <w:lang w:val="en-US" w:eastAsia="zh-CN" w:bidi="ar"/>
              </w:rPr>
              <w:t>指标</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5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一级指标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3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二级指标</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69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三级指标</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66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绩效指标性质</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22F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绩效指标值</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C6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绩效度量单位</w:t>
            </w:r>
          </w:p>
        </w:tc>
        <w:tc>
          <w:tcPr>
            <w:tcW w:w="610" w:type="dxa"/>
            <w:tcBorders>
              <w:top w:val="single" w:color="000000" w:sz="4" w:space="0"/>
              <w:left w:val="single" w:color="000000" w:sz="4" w:space="0"/>
              <w:bottom w:val="single" w:color="000000" w:sz="4" w:space="0"/>
            </w:tcBorders>
            <w:shd w:val="clear" w:color="auto" w:fill="auto"/>
            <w:vAlign w:val="center"/>
          </w:tcPr>
          <w:p w14:paraId="34D1E4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权重</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B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实际完成</w:t>
            </w:r>
          </w:p>
          <w:p w14:paraId="4B05CF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4"/>
                <w:szCs w:val="24"/>
                <w:u w:val="none"/>
              </w:rPr>
            </w:pPr>
            <w:r>
              <w:rPr>
                <w:rFonts w:hint="default" w:ascii="宋体" w:hAnsi="宋体" w:eastAsia="宋体" w:cs="宋体"/>
                <w:i w:val="0"/>
                <w:iCs w:val="0"/>
                <w:color w:val="000000"/>
                <w:kern w:val="0"/>
                <w:sz w:val="18"/>
                <w:szCs w:val="18"/>
                <w:u w:val="none"/>
                <w:lang w:val="en-US" w:eastAsia="zh-CN" w:bidi="ar"/>
              </w:rPr>
              <w:t>指标值</w:t>
            </w:r>
          </w:p>
        </w:tc>
      </w:tr>
      <w:tr w14:paraId="218D1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5C7F2">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1C7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36B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0A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保证人大代表活动开展</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76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6BF1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E5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BF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441" w:type="dxa"/>
            <w:tcBorders>
              <w:left w:val="single" w:color="000000" w:sz="4" w:space="0"/>
              <w:bottom w:val="single" w:color="000000" w:sz="4" w:space="0"/>
              <w:right w:val="single" w:color="000000" w:sz="4" w:space="0"/>
            </w:tcBorders>
            <w:shd w:val="clear" w:color="auto" w:fill="auto"/>
            <w:vAlign w:val="center"/>
          </w:tcPr>
          <w:p w14:paraId="105313E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170人</w:t>
            </w:r>
          </w:p>
        </w:tc>
      </w:tr>
      <w:tr w14:paraId="7E4B8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A0637">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CBE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3E6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0A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保障人大机关正常运行</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AF6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D9F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B6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B7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84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1个</w:t>
            </w:r>
          </w:p>
        </w:tc>
      </w:tr>
      <w:tr w14:paraId="3500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337A6">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3B4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1F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90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代表活动参与率</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07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A66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EC5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652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23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r>
      <w:tr w14:paraId="6C392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E7667">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7A6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AA7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41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2025年完成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79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006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D54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27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37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1年</w:t>
            </w:r>
          </w:p>
        </w:tc>
      </w:tr>
      <w:tr w14:paraId="2CC51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F09F3">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EE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44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可持续发展指标</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1B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保障会议顺利召开</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E3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25B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优良</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D7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33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64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优</w:t>
            </w:r>
          </w:p>
        </w:tc>
      </w:tr>
      <w:tr w14:paraId="75A48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3542A">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tcBorders>
              <w:top w:val="single" w:color="000000" w:sz="4" w:space="0"/>
              <w:left w:val="single" w:color="000000" w:sz="4" w:space="0"/>
              <w:bottom w:val="single" w:color="auto" w:sz="4" w:space="0"/>
              <w:right w:val="single" w:color="000000" w:sz="4" w:space="0"/>
            </w:tcBorders>
            <w:shd w:val="clear" w:color="auto" w:fill="auto"/>
            <w:vAlign w:val="center"/>
          </w:tcPr>
          <w:p w14:paraId="7039D9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100" w:type="dxa"/>
            <w:tcBorders>
              <w:top w:val="single" w:color="000000" w:sz="4" w:space="0"/>
              <w:left w:val="single" w:color="000000" w:sz="4" w:space="0"/>
              <w:bottom w:val="single" w:color="auto" w:sz="4" w:space="0"/>
              <w:right w:val="single" w:color="000000" w:sz="4" w:space="0"/>
            </w:tcBorders>
            <w:shd w:val="clear" w:color="auto" w:fill="auto"/>
            <w:vAlign w:val="center"/>
          </w:tcPr>
          <w:p w14:paraId="4FE51E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3160" w:type="dxa"/>
            <w:tcBorders>
              <w:top w:val="single" w:color="000000" w:sz="4" w:space="0"/>
              <w:left w:val="single" w:color="000000" w:sz="4" w:space="0"/>
              <w:bottom w:val="single" w:color="auto" w:sz="4" w:space="0"/>
              <w:right w:val="single" w:color="000000" w:sz="4" w:space="0"/>
            </w:tcBorders>
            <w:shd w:val="clear" w:color="auto" w:fill="auto"/>
            <w:vAlign w:val="center"/>
          </w:tcPr>
          <w:p w14:paraId="712F6ED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县人大代表对人大工作的满意度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978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D18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AA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C5D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97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r>
      <w:tr w14:paraId="33276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1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0E2B834">
            <w:pPr>
              <w:keepNext w:val="0"/>
              <w:keepLines w:val="0"/>
              <w:pageBreakBefore w:val="0"/>
              <w:widowControl/>
              <w:kinsoku/>
              <w:wordWrap/>
              <w:overflowPunct/>
              <w:topLinePunct w:val="0"/>
              <w:autoSpaceDE/>
              <w:autoSpaceDN/>
              <w:bidi w:val="0"/>
              <w:adjustRightInd/>
              <w:snapToGrid/>
              <w:spacing w:line="280" w:lineRule="exact"/>
              <w:jc w:val="center"/>
              <w:outlineLvl w:val="9"/>
              <w:rPr>
                <w:rFonts w:hint="default" w:ascii="Times New Roman" w:hAnsi="Times New Roman" w:eastAsia="宋体" w:cs="Times New Roman"/>
                <w:i w:val="0"/>
                <w:color w:val="000000"/>
                <w:sz w:val="24"/>
                <w:szCs w:val="24"/>
                <w:u w:val="none"/>
              </w:rPr>
            </w:pPr>
          </w:p>
        </w:tc>
        <w:tc>
          <w:tcPr>
            <w:tcW w:w="933" w:type="dxa"/>
            <w:tcBorders>
              <w:top w:val="single" w:color="auto" w:sz="4" w:space="0"/>
              <w:left w:val="single" w:color="auto" w:sz="4" w:space="0"/>
              <w:bottom w:val="single" w:color="auto" w:sz="4" w:space="0"/>
              <w:right w:val="single" w:color="000000" w:sz="4" w:space="0"/>
            </w:tcBorders>
            <w:shd w:val="clear" w:color="auto" w:fill="auto"/>
            <w:vAlign w:val="center"/>
          </w:tcPr>
          <w:p w14:paraId="757E5CE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100" w:type="dxa"/>
            <w:tcBorders>
              <w:top w:val="single" w:color="auto" w:sz="4" w:space="0"/>
              <w:left w:val="single" w:color="000000" w:sz="4" w:space="0"/>
              <w:bottom w:val="single" w:color="auto" w:sz="4" w:space="0"/>
              <w:right w:val="single" w:color="000000" w:sz="4" w:space="0"/>
            </w:tcBorders>
            <w:shd w:val="clear" w:color="auto" w:fill="auto"/>
            <w:vAlign w:val="center"/>
          </w:tcPr>
          <w:p w14:paraId="25E1EA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3160" w:type="dxa"/>
            <w:tcBorders>
              <w:top w:val="single" w:color="auto" w:sz="4" w:space="0"/>
              <w:left w:val="single" w:color="000000" w:sz="4" w:space="0"/>
              <w:bottom w:val="single" w:color="auto" w:sz="4" w:space="0"/>
              <w:right w:val="single" w:color="auto" w:sz="4" w:space="0"/>
            </w:tcBorders>
            <w:shd w:val="clear" w:color="auto" w:fill="auto"/>
            <w:vAlign w:val="center"/>
          </w:tcPr>
          <w:p w14:paraId="2E09E5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控制在预算指标内</w:t>
            </w:r>
          </w:p>
        </w:tc>
        <w:tc>
          <w:tcPr>
            <w:tcW w:w="750" w:type="dxa"/>
            <w:tcBorders>
              <w:top w:val="single" w:color="000000" w:sz="4" w:space="0"/>
              <w:left w:val="single" w:color="auto" w:sz="4" w:space="0"/>
              <w:bottom w:val="single" w:color="000000" w:sz="4" w:space="0"/>
              <w:right w:val="single" w:color="000000" w:sz="4" w:space="0"/>
            </w:tcBorders>
            <w:shd w:val="clear" w:color="auto" w:fill="auto"/>
            <w:vAlign w:val="center"/>
          </w:tcPr>
          <w:p w14:paraId="4303BA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53C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BDD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0F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19A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549.26万元</w:t>
            </w:r>
          </w:p>
        </w:tc>
      </w:tr>
    </w:tbl>
    <w:p w14:paraId="137AF408">
      <w:pPr>
        <w:rPr>
          <w:rFonts w:hint="default"/>
          <w:lang w:val="en-US" w:eastAsia="zh-CN"/>
        </w:rPr>
      </w:pPr>
      <w:bookmarkStart w:id="1" w:name="_GoBack"/>
      <w:bookmarkEnd w:id="1"/>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75E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2D219">
                          <w:pPr>
                            <w:pStyle w:val="9"/>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6E8490D9"/>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B2D219">
                    <w:pPr>
                      <w:pStyle w:val="9"/>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6E8490D9"/>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DCAE6">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4D176B0"/>
    <w:rsid w:val="0B8D07F3"/>
    <w:rsid w:val="0DC31556"/>
    <w:rsid w:val="11BE0DF6"/>
    <w:rsid w:val="1A3D6143"/>
    <w:rsid w:val="1C013801"/>
    <w:rsid w:val="1DFD8D3B"/>
    <w:rsid w:val="1FB79DC9"/>
    <w:rsid w:val="1FBFC3F2"/>
    <w:rsid w:val="1FFFE033"/>
    <w:rsid w:val="27624C01"/>
    <w:rsid w:val="27D73C7A"/>
    <w:rsid w:val="27F352A6"/>
    <w:rsid w:val="2D527252"/>
    <w:rsid w:val="2DDC1740"/>
    <w:rsid w:val="2E967305"/>
    <w:rsid w:val="2EAE55F2"/>
    <w:rsid w:val="2EDF4302"/>
    <w:rsid w:val="2EFE1A04"/>
    <w:rsid w:val="2FFF3854"/>
    <w:rsid w:val="327B6D54"/>
    <w:rsid w:val="35BBF80F"/>
    <w:rsid w:val="3A325103"/>
    <w:rsid w:val="3B0B3937"/>
    <w:rsid w:val="3B736F08"/>
    <w:rsid w:val="3BE3D531"/>
    <w:rsid w:val="3D431A40"/>
    <w:rsid w:val="3EFF42CA"/>
    <w:rsid w:val="3F6FCA38"/>
    <w:rsid w:val="3FD5AF3D"/>
    <w:rsid w:val="3FFED8BE"/>
    <w:rsid w:val="3FFF43BB"/>
    <w:rsid w:val="3FFFFC14"/>
    <w:rsid w:val="433DCF8E"/>
    <w:rsid w:val="45FF973D"/>
    <w:rsid w:val="47550EBA"/>
    <w:rsid w:val="4A8F4F29"/>
    <w:rsid w:val="4BF7E09D"/>
    <w:rsid w:val="528F4BF9"/>
    <w:rsid w:val="53BB74FC"/>
    <w:rsid w:val="54696272"/>
    <w:rsid w:val="55FDDF92"/>
    <w:rsid w:val="55FFBC03"/>
    <w:rsid w:val="56CDA72E"/>
    <w:rsid w:val="576F5916"/>
    <w:rsid w:val="577FDAE2"/>
    <w:rsid w:val="57FBE2C7"/>
    <w:rsid w:val="5AF56A87"/>
    <w:rsid w:val="5B335734"/>
    <w:rsid w:val="5B7F322F"/>
    <w:rsid w:val="5BCAB023"/>
    <w:rsid w:val="5BEACB58"/>
    <w:rsid w:val="5D8649C7"/>
    <w:rsid w:val="5DDA9B94"/>
    <w:rsid w:val="5DEF4F26"/>
    <w:rsid w:val="5EAB810D"/>
    <w:rsid w:val="5EFA9846"/>
    <w:rsid w:val="5EFF9DA6"/>
    <w:rsid w:val="5F7751B9"/>
    <w:rsid w:val="5F9F7232"/>
    <w:rsid w:val="5F9F9588"/>
    <w:rsid w:val="5FBD32D2"/>
    <w:rsid w:val="5FD450B0"/>
    <w:rsid w:val="5FEF60CD"/>
    <w:rsid w:val="5FFB203D"/>
    <w:rsid w:val="5FFB8CF9"/>
    <w:rsid w:val="63DBAF21"/>
    <w:rsid w:val="64647DAC"/>
    <w:rsid w:val="6636451A"/>
    <w:rsid w:val="66DB7319"/>
    <w:rsid w:val="67DE80AA"/>
    <w:rsid w:val="686C5268"/>
    <w:rsid w:val="697E3B47"/>
    <w:rsid w:val="69BF132E"/>
    <w:rsid w:val="6B7F84D8"/>
    <w:rsid w:val="6BFEE5F3"/>
    <w:rsid w:val="6CAFF34E"/>
    <w:rsid w:val="6CFFCF4F"/>
    <w:rsid w:val="6DFFF8B6"/>
    <w:rsid w:val="6E9FE641"/>
    <w:rsid w:val="6EA02C47"/>
    <w:rsid w:val="6EEDE807"/>
    <w:rsid w:val="6EEE4BE4"/>
    <w:rsid w:val="6EF65E9C"/>
    <w:rsid w:val="6F310320"/>
    <w:rsid w:val="6F3D9197"/>
    <w:rsid w:val="6F6F75B6"/>
    <w:rsid w:val="6FAB3EC4"/>
    <w:rsid w:val="6FB6AF41"/>
    <w:rsid w:val="6FD52DA7"/>
    <w:rsid w:val="6FD894C8"/>
    <w:rsid w:val="6FE36A9E"/>
    <w:rsid w:val="6FEFB2D1"/>
    <w:rsid w:val="6FFF97E6"/>
    <w:rsid w:val="71397E03"/>
    <w:rsid w:val="71FB5B08"/>
    <w:rsid w:val="73FB87D9"/>
    <w:rsid w:val="75EF0FBA"/>
    <w:rsid w:val="7607C293"/>
    <w:rsid w:val="76793C4E"/>
    <w:rsid w:val="767B0EE7"/>
    <w:rsid w:val="76BFEE64"/>
    <w:rsid w:val="76DF783A"/>
    <w:rsid w:val="76DFA4E8"/>
    <w:rsid w:val="778720BD"/>
    <w:rsid w:val="77A7D615"/>
    <w:rsid w:val="77FF366A"/>
    <w:rsid w:val="77FF8C96"/>
    <w:rsid w:val="77FFA8F9"/>
    <w:rsid w:val="7976604B"/>
    <w:rsid w:val="79F3BC78"/>
    <w:rsid w:val="7A5B6CAA"/>
    <w:rsid w:val="7A9314AC"/>
    <w:rsid w:val="7B192B7B"/>
    <w:rsid w:val="7B4D4099"/>
    <w:rsid w:val="7B4F6850"/>
    <w:rsid w:val="7BABD5C4"/>
    <w:rsid w:val="7BB12055"/>
    <w:rsid w:val="7BBFADBA"/>
    <w:rsid w:val="7BF7F9C6"/>
    <w:rsid w:val="7BFF492D"/>
    <w:rsid w:val="7C631402"/>
    <w:rsid w:val="7C978C63"/>
    <w:rsid w:val="7CA35AD0"/>
    <w:rsid w:val="7CDF8BC3"/>
    <w:rsid w:val="7CEB72A5"/>
    <w:rsid w:val="7D18750B"/>
    <w:rsid w:val="7DDFDC39"/>
    <w:rsid w:val="7DFDEECD"/>
    <w:rsid w:val="7E140770"/>
    <w:rsid w:val="7E5D92FB"/>
    <w:rsid w:val="7E635AE7"/>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0917"/>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79A608"/>
    <w:rsid w:val="B5F66F24"/>
    <w:rsid w:val="B7F5200A"/>
    <w:rsid w:val="BABDA1AA"/>
    <w:rsid w:val="BB1B4BF1"/>
    <w:rsid w:val="BBE5FE68"/>
    <w:rsid w:val="BBFEB9C1"/>
    <w:rsid w:val="BDF7406A"/>
    <w:rsid w:val="BE6FD8DB"/>
    <w:rsid w:val="BEEF57C2"/>
    <w:rsid w:val="BF6CD6FF"/>
    <w:rsid w:val="BF6D5596"/>
    <w:rsid w:val="BFBEBB2C"/>
    <w:rsid w:val="BFC68935"/>
    <w:rsid w:val="BFDD0F1D"/>
    <w:rsid w:val="BFDDD096"/>
    <w:rsid w:val="C5B3F496"/>
    <w:rsid w:val="C96F3E49"/>
    <w:rsid w:val="CBBF14F3"/>
    <w:rsid w:val="CBE5DCF2"/>
    <w:rsid w:val="CCFCC735"/>
    <w:rsid w:val="CEEB8A74"/>
    <w:rsid w:val="D37FB642"/>
    <w:rsid w:val="D7F99798"/>
    <w:rsid w:val="D7FF400C"/>
    <w:rsid w:val="D9DB2628"/>
    <w:rsid w:val="DBED1CD4"/>
    <w:rsid w:val="DBFBB328"/>
    <w:rsid w:val="DDD7453A"/>
    <w:rsid w:val="DE3E1FD7"/>
    <w:rsid w:val="DEBFCF8E"/>
    <w:rsid w:val="DFBE1B79"/>
    <w:rsid w:val="DFCF1FEC"/>
    <w:rsid w:val="DFE75A3D"/>
    <w:rsid w:val="DFED2117"/>
    <w:rsid w:val="DFEF594B"/>
    <w:rsid w:val="DFF3F960"/>
    <w:rsid w:val="DFFE0D61"/>
    <w:rsid w:val="E35C4B3C"/>
    <w:rsid w:val="E3A781CA"/>
    <w:rsid w:val="E5DFAB50"/>
    <w:rsid w:val="E6FC647F"/>
    <w:rsid w:val="EAE6D6D4"/>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8D9A400"/>
    <w:rsid w:val="FABF64A5"/>
    <w:rsid w:val="FABF7411"/>
    <w:rsid w:val="FBA53981"/>
    <w:rsid w:val="FBE4457E"/>
    <w:rsid w:val="FBFC558A"/>
    <w:rsid w:val="FBFF71AC"/>
    <w:rsid w:val="FBFFEA2B"/>
    <w:rsid w:val="FCCB27AA"/>
    <w:rsid w:val="FCFF8F4B"/>
    <w:rsid w:val="FD9595AD"/>
    <w:rsid w:val="FDDF4F05"/>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75E44"/>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2"/>
    <w:basedOn w:val="3"/>
    <w:next w:val="1"/>
    <w:qFormat/>
    <w:uiPriority w:val="0"/>
    <w:rPr>
      <w:rFonts w:eastAsia="宋体"/>
    </w:rPr>
  </w:style>
  <w:style w:type="paragraph" w:customStyle="1" w:styleId="3">
    <w:name w:val="正文1"/>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5">
    <w:name w:val="Document Map"/>
    <w:basedOn w:val="1"/>
    <w:link w:val="21"/>
    <w:qFormat/>
    <w:uiPriority w:val="0"/>
    <w:rPr>
      <w:rFonts w:ascii="宋体" w:eastAsia="宋体"/>
      <w:sz w:val="18"/>
      <w:szCs w:val="18"/>
    </w:r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Chars="200"/>
    </w:pPr>
    <w:rPr>
      <w:rFonts w:ascii="仿宋_GB2312"/>
      <w:szCs w:val="32"/>
    </w:rPr>
  </w:style>
  <w:style w:type="paragraph" w:styleId="8">
    <w:name w:val="Balloon Text"/>
    <w:basedOn w:val="1"/>
    <w:semiHidden/>
    <w:qFormat/>
    <w:uiPriority w:val="0"/>
    <w:rPr>
      <w:sz w:val="18"/>
      <w:szCs w:val="18"/>
    </w:rPr>
  </w:style>
  <w:style w:type="paragraph" w:styleId="9">
    <w:name w:val="footer"/>
    <w:basedOn w:val="1"/>
    <w:link w:val="23"/>
    <w:qFormat/>
    <w:uiPriority w:val="99"/>
    <w:pPr>
      <w:tabs>
        <w:tab w:val="center" w:pos="4153"/>
        <w:tab w:val="right" w:pos="8306"/>
      </w:tabs>
      <w:snapToGrid w:val="0"/>
      <w:jc w:val="left"/>
    </w:pPr>
    <w:rPr>
      <w:rFonts w:eastAsia="宋体"/>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1">
    <w:name w:val="toc 1"/>
    <w:basedOn w:val="1"/>
    <w:next w:val="1"/>
    <w:qFormat/>
    <w:uiPriority w:val="0"/>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7"/>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paragraph" w:customStyle="1" w:styleId="18">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9">
    <w:name w:val="四号正文"/>
    <w:basedOn w:val="1"/>
    <w:link w:val="20"/>
    <w:qFormat/>
    <w:uiPriority w:val="0"/>
    <w:pPr>
      <w:spacing w:line="360" w:lineRule="auto"/>
    </w:pPr>
    <w:rPr>
      <w:rFonts w:ascii="??" w:hAnsi="??" w:eastAsia="宋体" w:cs="宋体"/>
      <w:color w:val="000000"/>
      <w:kern w:val="0"/>
      <w:sz w:val="28"/>
      <w:szCs w:val="21"/>
    </w:rPr>
  </w:style>
  <w:style w:type="character" w:customStyle="1" w:styleId="20">
    <w:name w:val="四号正文 Char"/>
    <w:basedOn w:val="16"/>
    <w:link w:val="19"/>
    <w:qFormat/>
    <w:uiPriority w:val="0"/>
    <w:rPr>
      <w:rFonts w:ascii="??" w:hAnsi="??" w:eastAsia="宋体" w:cs="宋体"/>
      <w:color w:val="000000"/>
      <w:sz w:val="28"/>
      <w:szCs w:val="21"/>
      <w:lang w:val="en-US" w:eastAsia="zh-CN" w:bidi="ar-SA"/>
    </w:rPr>
  </w:style>
  <w:style w:type="character" w:customStyle="1" w:styleId="21">
    <w:name w:val="文档结构图 Char"/>
    <w:basedOn w:val="16"/>
    <w:link w:val="5"/>
    <w:qFormat/>
    <w:uiPriority w:val="0"/>
    <w:rPr>
      <w:rFonts w:ascii="宋体"/>
      <w:kern w:val="2"/>
      <w:sz w:val="18"/>
      <w:szCs w:val="18"/>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页脚 Char"/>
    <w:basedOn w:val="16"/>
    <w:link w:val="9"/>
    <w:qFormat/>
    <w:uiPriority w:val="99"/>
    <w:rPr>
      <w:kern w:val="2"/>
      <w:sz w:val="18"/>
      <w:szCs w:val="18"/>
    </w:rPr>
  </w:style>
  <w:style w:type="character" w:customStyle="1" w:styleId="24">
    <w:name w:val="font31"/>
    <w:basedOn w:val="16"/>
    <w:qFormat/>
    <w:uiPriority w:val="0"/>
    <w:rPr>
      <w:rFonts w:hint="eastAsia" w:ascii="宋体" w:hAnsi="宋体" w:eastAsia="宋体" w:cs="宋体"/>
      <w:color w:val="000000"/>
      <w:sz w:val="24"/>
      <w:szCs w:val="24"/>
      <w:u w:val="none"/>
    </w:rPr>
  </w:style>
  <w:style w:type="character" w:customStyle="1" w:styleId="25">
    <w:name w:val="font51"/>
    <w:basedOn w:val="16"/>
    <w:qFormat/>
    <w:uiPriority w:val="0"/>
    <w:rPr>
      <w:rFonts w:hint="default" w:ascii="Wingdings 2" w:hAnsi="Wingdings 2" w:eastAsia="Wingdings 2" w:cs="Wingdings 2"/>
      <w:color w:val="000000"/>
      <w:sz w:val="18"/>
      <w:szCs w:val="18"/>
      <w:u w:val="none"/>
    </w:rPr>
  </w:style>
  <w:style w:type="character" w:customStyle="1" w:styleId="26">
    <w:name w:val="font01"/>
    <w:basedOn w:val="16"/>
    <w:qFormat/>
    <w:uiPriority w:val="0"/>
    <w:rPr>
      <w:rFonts w:ascii="宋体" w:hAnsi="宋体" w:eastAsia="宋体" w:cs="宋体"/>
      <w:color w:val="000000"/>
      <w:sz w:val="18"/>
      <w:szCs w:val="18"/>
      <w:u w:val="none"/>
    </w:rPr>
  </w:style>
  <w:style w:type="character" w:customStyle="1" w:styleId="27">
    <w:name w:val="font41"/>
    <w:basedOn w:val="16"/>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10</Pages>
  <Words>5311</Words>
  <Characters>5463</Characters>
  <Lines>2</Lines>
  <Paragraphs>1</Paragraphs>
  <TotalTime>7</TotalTime>
  <ScaleCrop>false</ScaleCrop>
  <LinksUpToDate>false</LinksUpToDate>
  <CharactersWithSpaces>5469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2019-06-01T03:06:00Z</dcterms:created>
  <dc:creator>陈萍</dc:creator>
  <cp:lastModifiedBy>Tifa.G</cp:lastModifiedBy>
  <cp:lastPrinted>2025-03-05T11:05:00Z</cp:lastPrinted>
  <dcterms:modified xsi:type="dcterms:W3CDTF">2026-09-16T09:29:29Z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eyJoZGlkIjoiOWM0YTg5ODNlYjlhMDE1ZWY4YTA3NDAxOTZlNTg5MTEiLCJ1c2VySWQiOiIyODI0MjgxNjYifQ==</vt:lpwstr>
  </property>
  <property fmtid="{D5CDD505-2E9C-101B-9397-08002B2CF9AE}" pid="4" name="ICV">
    <vt:lpwstr>1208128301774E4C845937E27BD721CD_13</vt:lpwstr>
  </property>
</Properties>
</file>